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Universidade Federal de São João del-Rei (UFSJ), por meio da Pró-reitoria de Ensino de Graduação e representada pelo Pró-Reitor Adjunto de Ensino de Graduação, concede, observados os termos das normas vigentes, Bolsa de Ensino e Aprendizagem no âmbito do Programa de Monitoria da UFSJ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ao(à)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discente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CPF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xxx.xxx.xxx-xx,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RG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Matrícula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Conta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Poupança ou Corrente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Banco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Agência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xxxxxxxx-x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e-mail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xxxxxxxxx@xxxxx.xxxx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telefone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(xx) xxxxx-xxxx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para atuar como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MONITOR(A)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 disciplina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junto ao Curso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sob a orientação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do(a)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docente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de acordo com as condições seguintes:</w:t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período de vigência da MONITORIA e da concessão da BOLSA DE ENSINO E APRENDIZAGEM será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2022 a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23/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/2022.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valor mensal da BOLSA é de R$240,00, podendo ser fracionado em razão do número de dias trabalhados.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 fica sujeito ao regime efetivo de trabalho de 12 horas semanais, em horário fixado pelo docente orientador.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MONITOR, no horário de trabalho, fica obrigado a desenvolver o plano de trabalho proposto pelo docente orientador, sob sua orientação.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 fica obrigado a apresentar ao docente orientador relatório das atividades desenvolvidas durante o período da MONITORIA, que será avaliado por este para posterior certificação.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 aceita a BOLSA que lhe é concedida, sem restrição, e concorda com todos os seus termos e condições.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presente concessão não estabelece, em hipótese alguma e para nenhum efeito, qualquer vínculo empregatício entre a UFSJ e o MONITOR, ou entre este e terceiros, nem dará direito a quaisquer vantagens além das previstas neste termo.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docente orientador é responsável pelo cumprimento das obrigações mencionadas neste Termo, comprometendo-se a informar o Coordenador do Curso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descumprimento de qualquer das obrigações assumidas ou a desistência do monitor.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do Curso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fica solidariamente responsável pelo cumprimento das obrigações mencionadas neste Termo, comprometendo-se a comunicar ao Setor de Apoio Acadêmico (SEACA-PROEN) qualquer condição que implique no cancelamento deste Termo.</w:t>
      </w:r>
    </w:p>
    <w:p w:rsidR="00000000" w:rsidDel="00000000" w:rsidP="00000000" w:rsidRDefault="00000000" w:rsidRPr="00000000" w14:paraId="0000000C">
      <w:pPr>
        <w:ind w:left="284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vedado aos monitores: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ministrar aulas regulares em substituição a docente orientador e/ou docente orientadora;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corrigir trabalhos e/ou atividades avaliativas;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lançar notas ou preencher diários no sistema;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substituir técnico-administrativos em atividades de sua competência, tais como serviços de secretaria ou laboratórios;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 exercer atividades insalubres;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6. executar quaisquer tarefas que estejam em desacordo com os objetivos acadêmicos da monitoria.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termo entrará em vigor a partir da data de sua assinatura, podendo ser cancelado a qualquer momento por qualquer uma das partes.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do(a) Monitor(a)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2022</w:t>
      </w:r>
    </w:p>
    <w:sectPr>
      <w:headerReference r:id="rId7" w:type="default"/>
      <w:pgSz w:h="16838" w:w="11906" w:orient="portrait"/>
      <w:pgMar w:bottom="1134" w:top="238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899160" cy="89979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160" cy="899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63500</wp:posOffset>
              </wp:positionV>
              <wp:extent cx="4319270" cy="68008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91128" y="344472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TERMO DE COMPROMISSO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MONITORIA REMUNERADA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63500</wp:posOffset>
              </wp:positionV>
              <wp:extent cx="4319270" cy="68008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9270" cy="680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0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0"/>
      <w:suppressAutoHyphens w:val="0"/>
      <w:autoSpaceDN w:val="0"/>
      <w:spacing w:after="12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numbering" w:styleId="WWNum3">
    <w:name w:val="WWNum3"/>
    <w:basedOn w:val="Semlista"/>
    <w:next w:val="WWNum3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/2/CHlCTyjN5b4sGj0U2zdKVg==">AMUW2mXKD8X+IcmZ3yMHTkAG8HCTuOLHC6bPMZ+PpjmKejzhNaCdnZegG5kv+LFZVSTj5uPwXClEcQrm58Tq0E3v7+dL2hca1d119jxeV9joZfp/zUWGnAMZUHt6Xod+D1xA7dG4g0bl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2022-02-22T11:31:00Z</dcterms:created>
  <dc:creator>PROEN-ADJ</dc:creator>
</cp:coreProperties>
</file>