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32"/>
        <w:tblW w:w="11057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500"/>
        <w:gridCol w:w="285"/>
        <w:gridCol w:w="2641"/>
        <w:gridCol w:w="2170"/>
        <w:gridCol w:w="2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drawing>
                <wp:inline distT="0" distB="0" distL="114300" distR="114300">
                  <wp:extent cx="1306830" cy="1250950"/>
                  <wp:effectExtent l="0" t="0" r="0" b="0"/>
                  <wp:docPr id="3" name="image1.png" descr="menu-logo_menor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menu-logo_menor (1)"/>
                          <pic:cNvPicPr preferRelativeResize="0"/>
                        </pic:nvPicPr>
                        <pic:blipFill>
                          <a:blip r:embed="rId6"/>
                          <a:srcRect l="-10029" t="-10214" r="-4971" b="-4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UNIVERSIDADE FEDERAL DE SÃO JOÃO DEL-REI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Instituída pela Lei n</w:t>
            </w:r>
            <w:r>
              <w:rPr>
                <w:rFonts w:ascii="Arial" w:hAnsi="Arial" w:eastAsia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eastAsia="Arial" w:cs="Arial"/>
                <w:sz w:val="20"/>
                <w:szCs w:val="20"/>
              </w:rPr>
              <w:t>10.425, de 19/04/2002 – D.O.U. DE 22/04/2002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PRÓ-REITORIA DE ENSINO DE GRADUAÇÃO – PROEN</w:t>
            </w:r>
          </w:p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>COORDENADORIA DE MEDICINA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Medicina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Grau acadêmico: </w:t>
            </w:r>
            <w:r>
              <w:rPr>
                <w:rFonts w:ascii="Arial" w:hAnsi="Arial" w:eastAsia="Arial" w:cs="Arial"/>
                <w:sz w:val="20"/>
                <w:szCs w:val="20"/>
              </w:rPr>
              <w:t>Bacharelado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Período: 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Currículo: </w:t>
            </w:r>
            <w:r>
              <w:rPr>
                <w:rFonts w:ascii="Arial" w:hAnsi="Arial" w:eastAsia="Arial" w:cs="Arial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Unidade curricular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Coordenador de área: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br w:type="textWrapping"/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Coordenador de unidade curricular: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Docentes: 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36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Unidade acadêmica:</w:t>
            </w:r>
          </w:p>
          <w:p>
            <w:pPr>
              <w:spacing w:before="240" w:after="240" w:line="36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bookmarkStart w:id="1" w:name="_heading=h.o90s2eix7o6s" w:colFirst="0" w:colLast="0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/>
                <w:lang w:val="pt-BR"/>
              </w:rPr>
            </w:pPr>
            <w:bookmarkStart w:id="2" w:name="_heading=h.30j0zll" w:colFirst="0" w:colLast="0"/>
            <w:bookmarkEnd w:id="2"/>
            <w:r>
              <w:rPr>
                <w:b/>
                <w:bCs/>
              </w:rPr>
              <w:t xml:space="preserve">Código: </w:t>
            </w:r>
            <w:r>
              <w:t>MD</w:t>
            </w:r>
            <w:r>
              <w:rPr>
                <w:rFonts w:hint="default"/>
                <w:lang w:val="pt-B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Teórica: 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b/>
              </w:rPr>
              <w:t>Prática</w:t>
            </w:r>
            <w:r>
              <w:t xml:space="preserve">: 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Total: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</w:pPr>
            <w:r>
              <w:rPr>
                <w:b/>
              </w:rPr>
              <w:t xml:space="preserve">Semestre: 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</w:pPr>
            <w:r>
              <w:rPr>
                <w:b/>
              </w:rPr>
              <w:t xml:space="preserve">Ano: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Pré-requisito: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Correquisito: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EMENTA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08"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OBJETIVO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39"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CONTEÚDO PROGRAMÁTICO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METODOLOGIA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101" w:after="0" w:line="360" w:lineRule="auto"/>
              <w:ind w:right="8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b/>
                <w:bCs/>
              </w:rPr>
              <w:t>FORMA DE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AVALIAÇÕES DE SEGUNDA CHAMADA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Terão direito a realizarem avaliações de segunda chamada os alunos que perderam alguma das atividades realizadas conforme previsto na Seção V da resolução nº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 xml:space="preserve"> 22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de 0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6 de outubro de 2021.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bookmarkStart w:id="3" w:name="_GoBack"/>
            <w:bookmarkEnd w:id="3"/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AVALIAÇÃO SUBSTITUTIVA: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color w:val="262626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262626"/>
                <w:sz w:val="20"/>
                <w:szCs w:val="20"/>
                <w:highlight w:val="yellow"/>
              </w:rPr>
              <w:t xml:space="preserve">Definir critérios 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color w:val="262626"/>
                <w:sz w:val="20"/>
                <w:szCs w:val="20"/>
                <w:highlight w:val="white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CRITÉRIOS PARA APROVAÇÃO, REVISÃO DE AVALIAÇÃO E ABONO DE FALTAS DEFINIDOS PELA RESOLUÇÃO </w:t>
            </w:r>
            <w:r>
              <w:rPr>
                <w:rFonts w:ascii="Arial" w:hAnsi="Arial" w:eastAsia="Arial" w:cs="Arial"/>
                <w:b/>
                <w:bCs w:val="0"/>
                <w:sz w:val="20"/>
                <w:szCs w:val="20"/>
              </w:rPr>
              <w:t xml:space="preserve">Nº </w:t>
            </w:r>
            <w:r>
              <w:rPr>
                <w:rFonts w:hint="default" w:ascii="Arial" w:hAnsi="Arial" w:eastAsia="Arial" w:cs="Arial"/>
                <w:b/>
                <w:bCs w:val="0"/>
                <w:sz w:val="20"/>
                <w:szCs w:val="20"/>
                <w:lang w:val="pt-BR"/>
              </w:rPr>
              <w:t>22</w:t>
            </w:r>
            <w:r>
              <w:rPr>
                <w:rFonts w:ascii="Arial" w:hAnsi="Arial" w:eastAsia="Arial" w:cs="Arial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b/>
                <w:bCs w:val="0"/>
                <w:sz w:val="20"/>
                <w:szCs w:val="20"/>
                <w:lang w:val="pt-BR"/>
              </w:rPr>
              <w:t>DE</w:t>
            </w:r>
            <w:r>
              <w:rPr>
                <w:rFonts w:ascii="Arial" w:hAnsi="Arial" w:eastAsia="Arial" w:cs="Arial"/>
                <w:b/>
                <w:bCs w:val="0"/>
                <w:sz w:val="20"/>
                <w:szCs w:val="20"/>
              </w:rPr>
              <w:t xml:space="preserve"> 0</w:t>
            </w:r>
            <w:r>
              <w:rPr>
                <w:rFonts w:hint="default" w:ascii="Arial" w:hAnsi="Arial" w:eastAsia="Arial" w:cs="Arial"/>
                <w:b/>
                <w:bCs w:val="0"/>
                <w:sz w:val="20"/>
                <w:szCs w:val="20"/>
                <w:lang w:val="pt-BR"/>
              </w:rPr>
              <w:t>6 DE OUTUBRO DE 2021</w:t>
            </w:r>
            <w:r>
              <w:rPr>
                <w:rFonts w:ascii="Arial" w:hAnsi="Arial" w:eastAsia="Arial" w:cs="Arial"/>
                <w:b/>
                <w:bCs w:val="0"/>
                <w:sz w:val="20"/>
                <w:szCs w:val="20"/>
              </w:rPr>
              <w:t>, D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O CONSELHO DE ENSINO, PESQUISA E EXTENSÃO (CONEP) DA UFSJ: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Seção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III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 - Para aprovação em uma unidade curricular, é obrigatória a obtenção de nota final igual ou superior a 6,0.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1º Para os cursos presenciais, é ainda exigida frequência mínima de 75% (setenta e cinco por cento) nas unidades curriculares do tipo disciplina conforme normas e legislação vigentes.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Seção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V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 - O discente pode solicitar, por meio de formulário eletrônico, contendo justificativa, a revisão de avaliação escrita a que tenha se submetido ou da nota final de unidade(s) curricular(es).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2º O prazo máximo para solicitação de Revisão de Avaliação é de 2 (dois) dias úteis após a visualização da avaliação em questão pelo discente conforme disposto no § 2º do art. 14.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§ 3º O prazo máximo para solicitação de Revisão da Nota Final da unidade curricular é de 2 (dois) dias úteis após o fechamento do Diário Eletrônico.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Art.1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 - O docente responsável deve conceder Segunda Chamada de Avaliação ao discente ausente a qualquer avaliação presencial mediante solicitação à Coordenadoria de Curso, em formulário eletrônico, contendo justificativa (veja §1º), realizada em até 5 (cinco) dias úteis após a data de realização da atividade.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Seção VI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Art. 1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 -   § 1º O formato e os critérios para realização da  Avaliação substitutiva é definida no Plano de Ensino da UC;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§3º - A nota obtida na avaliação substitutiva não substituirá a nota original quando for inferior a ela. 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Seção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VII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Art.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lang w:val="pt-BR"/>
              </w:rPr>
              <w:t>16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 xml:space="preserve"> -  O abono de faltas somente é concedido nos seguintes casos, respeitando-se a legislação e as normas vigentes, mediante solicitação por formulário eletrônico, com documento comprobatório: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I – convocados e matriculados em Órgão de Formação de Reserva ou reservistas em exercício ou manobra, exercício de apresentação das reservas ou cerimônias cívicas em horário coincidente com as atividades acadêmicas;</w:t>
            </w:r>
          </w:p>
          <w:p>
            <w:pPr>
              <w:widowControl w:val="0"/>
              <w:spacing w:after="0" w:line="360" w:lineRule="auto"/>
              <w:ind w:right="2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II – membros representantes da Comissão Nacional de Avaliação da Educação Superior (CONAES) com participação em reuniões em horário coincidente com as atividades acadêmicas.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BIBLIOGRAFIA BÁSICA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 w:right="67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BIBLIOGRAFIA COMPLEMENTAR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left="14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05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9"/>
              <w:tblW w:w="11020" w:type="dxa"/>
              <w:tblInd w:w="-8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"/>
              <w:gridCol w:w="709"/>
              <w:gridCol w:w="882"/>
              <w:gridCol w:w="945"/>
              <w:gridCol w:w="3477"/>
              <w:gridCol w:w="1559"/>
              <w:gridCol w:w="2400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1020" w:type="dxa"/>
                  <w:gridSpan w:val="7"/>
                  <w:tcBorders>
                    <w:bottom w:val="single" w:color="000000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CRONOGRAMA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Semana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Aula</w:t>
                  </w:r>
                </w:p>
              </w:tc>
              <w:tc>
                <w:tcPr>
                  <w:tcW w:w="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Horário</w:t>
                  </w:r>
                </w:p>
              </w:tc>
              <w:tc>
                <w:tcPr>
                  <w:tcW w:w="3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Conteúdo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24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b/>
                      <w:sz w:val="18"/>
                      <w:szCs w:val="18"/>
                    </w:rPr>
                    <w:t>Local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  <w:shd w:val="clear" w:color="auto" w:fill="D9D9D9"/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" w:type="dxa"/>
                  <w:tcBorders>
                    <w:top w:val="single" w:color="000000" w:sz="4" w:space="0"/>
                  </w:tcBorders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360" w:lineRule="auto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360" w:lineRule="auto"/>
              <w:ind w:right="282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OBSERVAÇÃO:</w:t>
            </w:r>
          </w:p>
          <w:p>
            <w:pPr>
              <w:widowControl w:val="0"/>
              <w:spacing w:after="0" w:line="360" w:lineRule="auto"/>
              <w:ind w:right="28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>Conforme Resolução nº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highlight w:val="white"/>
                <w:lang w:val="pt-BR"/>
              </w:rPr>
              <w:t xml:space="preserve"> 2</w:t>
            </w:r>
            <w:r>
              <w:rPr>
                <w:rFonts w:hint="default" w:ascii="Arial" w:hAnsi="Arial" w:eastAsia="Arial" w:cs="Arial"/>
                <w:i w:val="0"/>
                <w:iCs/>
                <w:sz w:val="20"/>
                <w:szCs w:val="20"/>
                <w:highlight w:val="white"/>
                <w:lang w:val="pt-BR"/>
              </w:rPr>
              <w:t>2</w:t>
            </w:r>
            <w:r>
              <w:rPr>
                <w:rFonts w:ascii="Arial" w:hAnsi="Arial" w:eastAsia="Arial" w:cs="Arial"/>
                <w:i w:val="0"/>
                <w:iCs/>
                <w:sz w:val="20"/>
                <w:szCs w:val="20"/>
                <w:highlight w:val="white"/>
              </w:rPr>
              <w:t>,</w:t>
            </w:r>
            <w:r>
              <w:rPr>
                <w:rFonts w:ascii="Arial" w:hAnsi="Arial" w:eastAsia="Arial" w:cs="Arial"/>
                <w:i w:val="0"/>
                <w:iCs/>
                <w:sz w:val="20"/>
                <w:szCs w:val="20"/>
              </w:rPr>
              <w:t>de 0</w:t>
            </w:r>
            <w:r>
              <w:rPr>
                <w:rFonts w:hint="default" w:ascii="Arial" w:hAnsi="Arial" w:eastAsia="Arial" w:cs="Arial"/>
                <w:i w:val="0"/>
                <w:iCs/>
                <w:sz w:val="20"/>
                <w:szCs w:val="20"/>
                <w:lang w:val="pt-BR"/>
              </w:rPr>
              <w:t>6 de outubro de 2021</w:t>
            </w:r>
            <w:r>
              <w:rPr>
                <w:rFonts w:ascii="Arial" w:hAnsi="Arial" w:eastAsia="Arial" w:cs="Arial"/>
                <w:i w:val="0"/>
                <w:iCs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 xml:space="preserve">o CONEP - UFSJ: Seção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highlight w:val="white"/>
                <w:lang w:val="pt-BR"/>
              </w:rPr>
              <w:t>III</w:t>
            </w: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 xml:space="preserve"> - Art.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highlight w:val="white"/>
                <w:lang w:val="pt-BR"/>
              </w:rPr>
              <w:t>8</w:t>
            </w: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 xml:space="preserve"> - § </w:t>
            </w:r>
            <w:r>
              <w:rPr>
                <w:rFonts w:hint="default" w:ascii="Arial" w:hAnsi="Arial" w:eastAsia="Arial" w:cs="Arial"/>
                <w:i/>
                <w:sz w:val="20"/>
                <w:szCs w:val="20"/>
                <w:highlight w:val="white"/>
                <w:lang w:val="pt-BR"/>
              </w:rPr>
              <w:t>3</w:t>
            </w:r>
            <w:r>
              <w:rPr>
                <w:rFonts w:ascii="Arial" w:hAnsi="Arial" w:eastAsia="Arial" w:cs="Arial"/>
                <w:i/>
                <w:sz w:val="20"/>
                <w:szCs w:val="20"/>
                <w:highlight w:val="white"/>
              </w:rPr>
              <w:t>º As atividades letivas e avaliativas presenciais podem acontecer em horário e/ou local diferentes do estabelecido no Horário de Aulas elaborado pelo coordenador do curso, desde que o horário/local alternativo seja definido com antecedência mínima de 7 (sete) dias, amplamente divulgado pelos meios oficiais da UFSJ e que não haja discordância documentada de algum discente inscrito no prazo de 3 (três) dias subsequentes à divulgação.</w:t>
            </w:r>
          </w:p>
          <w:p>
            <w:pPr>
              <w:spacing w:after="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9"/>
              <w:tblW w:w="10960" w:type="dxa"/>
              <w:tblInd w:w="-54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36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HORAS /AULA POR PROFESSOR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69" w:hRule="atLeast"/>
              </w:trPr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0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after="0" w:line="360" w:lineRule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/>
          <w:p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_______________________________</w:t>
            </w:r>
          </w:p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Docente Responsável</w:t>
            </w:r>
          </w:p>
        </w:tc>
        <w:tc>
          <w:tcPr>
            <w:tcW w:w="7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Aprovado pelo Colegiado em</w:t>
            </w:r>
            <w:r>
              <w:rPr>
                <w:rFonts w:ascii="Times New Roman" w:hAnsi="Times New Roman" w:eastAsia="Times New Roman" w:cs="Times New Roman"/>
              </w:rPr>
              <w:t xml:space="preserve">        /        /      .</w:t>
            </w:r>
          </w:p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________________________________</w:t>
            </w:r>
          </w:p>
          <w:p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</w:rPr>
              <w:t>Coordenador do Curso</w:t>
            </w:r>
          </w:p>
        </w:tc>
      </w:tr>
    </w:tbl>
    <w:p>
      <w:pPr>
        <w:spacing w:after="0" w:line="360" w:lineRule="auto"/>
        <w:jc w:val="both"/>
        <w:rPr>
          <w:rFonts w:ascii="Arial" w:hAnsi="Arial" w:eastAsia="Arial" w:cs="Arial"/>
          <w:b/>
          <w:i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pgSz w:w="11906" w:h="16838"/>
      <w:pgMar w:top="1275" w:right="1700" w:bottom="1417" w:left="17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F2"/>
    <w:rsid w:val="00000E52"/>
    <w:rsid w:val="000A3B2E"/>
    <w:rsid w:val="00500038"/>
    <w:rsid w:val="006C1EF2"/>
    <w:rsid w:val="00A53355"/>
    <w:rsid w:val="00C23CA0"/>
    <w:rsid w:val="0B1375FF"/>
    <w:rsid w:val="41644AC8"/>
    <w:rsid w:val="76A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unhideWhenUsed/>
    <w:qFormat/>
    <w:uiPriority w:val="99"/>
    <w:rPr>
      <w:sz w:val="16"/>
      <w:szCs w:val="16"/>
    </w:rPr>
  </w:style>
  <w:style w:type="paragraph" w:styleId="11">
    <w:name w:val="annotation text"/>
    <w:basedOn w:val="12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customStyle="1" w:styleId="12">
    <w:name w:val="Normal2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annotation subject"/>
    <w:basedOn w:val="11"/>
    <w:next w:val="11"/>
    <w:link w:val="30"/>
    <w:semiHidden/>
    <w:unhideWhenUsed/>
    <w:qFormat/>
    <w:uiPriority w:val="99"/>
    <w:rPr>
      <w:b/>
      <w:bCs/>
    </w:rPr>
  </w:style>
  <w:style w:type="paragraph" w:styleId="15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Subtitle"/>
    <w:basedOn w:val="12"/>
    <w:next w:val="12"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7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0"/>
    <w:basedOn w:val="18"/>
    <w:qFormat/>
    <w:uiPriority w:val="0"/>
  </w:style>
  <w:style w:type="table" w:customStyle="1" w:styleId="20">
    <w:name w:val="_Style 11"/>
    <w:basedOn w:val="18"/>
    <w:qFormat/>
    <w:uiPriority w:val="0"/>
  </w:style>
  <w:style w:type="table" w:customStyle="1" w:styleId="21">
    <w:name w:val="_Style 12"/>
    <w:basedOn w:val="18"/>
    <w:qFormat/>
    <w:uiPriority w:val="0"/>
  </w:style>
  <w:style w:type="table" w:customStyle="1" w:styleId="22">
    <w:name w:val="_Style 13"/>
    <w:basedOn w:val="18"/>
    <w:qFormat/>
    <w:uiPriority w:val="0"/>
  </w:style>
  <w:style w:type="table" w:customStyle="1" w:styleId="23">
    <w:name w:val="_Style 14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1"/>
    <w:basedOn w:val="18"/>
    <w:qFormat/>
    <w:uiPriority w:val="0"/>
  </w:style>
  <w:style w:type="table" w:customStyle="1" w:styleId="25">
    <w:name w:val="_Style 22"/>
    <w:basedOn w:val="18"/>
    <w:qFormat/>
    <w:uiPriority w:val="0"/>
  </w:style>
  <w:style w:type="table" w:customStyle="1" w:styleId="26">
    <w:name w:val="_Style 23"/>
    <w:basedOn w:val="18"/>
    <w:qFormat/>
    <w:uiPriority w:val="0"/>
  </w:style>
  <w:style w:type="table" w:customStyle="1" w:styleId="27">
    <w:name w:val="_Style 24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5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6"/>
    <w:basedOn w:val="18"/>
    <w:qFormat/>
    <w:uiPriority w:val="0"/>
  </w:style>
  <w:style w:type="character" w:customStyle="1" w:styleId="30">
    <w:name w:val="Assunto do comentário Char"/>
    <w:basedOn w:val="31"/>
    <w:link w:val="14"/>
    <w:semiHidden/>
    <w:qFormat/>
    <w:uiPriority w:val="99"/>
    <w:rPr>
      <w:b/>
      <w:bCs/>
      <w:sz w:val="20"/>
      <w:szCs w:val="20"/>
    </w:rPr>
  </w:style>
  <w:style w:type="character" w:customStyle="1" w:styleId="31">
    <w:name w:val="Texto de comentário Char"/>
    <w:link w:val="11"/>
    <w:semiHidden/>
    <w:qFormat/>
    <w:uiPriority w:val="99"/>
    <w:rPr>
      <w:sz w:val="20"/>
      <w:szCs w:val="20"/>
    </w:rPr>
  </w:style>
  <w:style w:type="table" w:customStyle="1" w:styleId="32">
    <w:name w:val="_Style 32"/>
    <w:basedOn w:val="18"/>
    <w:qFormat/>
    <w:uiPriority w:val="0"/>
  </w:style>
  <w:style w:type="table" w:customStyle="1" w:styleId="33">
    <w:name w:val="_Style 33"/>
    <w:basedOn w:val="18"/>
    <w:qFormat/>
    <w:uiPriority w:val="0"/>
  </w:style>
  <w:style w:type="table" w:customStyle="1" w:styleId="34">
    <w:name w:val="_Style 34"/>
    <w:basedOn w:val="18"/>
    <w:qFormat/>
    <w:uiPriority w:val="0"/>
  </w:style>
  <w:style w:type="character" w:customStyle="1" w:styleId="35">
    <w:name w:val="Texto de balão Char"/>
    <w:basedOn w:val="8"/>
    <w:link w:val="1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93wXk9e9D/jOEkRnCKO4apIw1w==">AMUW2mVy5CM3AenDXFegzLB9cQ6Ag801VieZKV8qJaZOlCNk1RT4J+ibs9KfOPpt+yx6Ltpj6vOuNBfY3NH9l9RxYbFcamVShyyxMXNSknuGIa7444V7YN8011DofbHRs1sU0ABHXDkL4qEllp1DtWHKyxhCCQvrQghkQdI6DuAXB1hgrsTBRno=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621</Words>
  <Characters>3355</Characters>
  <Lines>27</Lines>
  <Paragraphs>7</Paragraphs>
  <TotalTime>5</TotalTime>
  <ScaleCrop>false</ScaleCrop>
  <LinksUpToDate>false</LinksUpToDate>
  <CharactersWithSpaces>3969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2021-08-23T11:11:00Z</dcterms:created>
  <dc:creator>OEM</dc:creator>
  <cp:lastModifiedBy>Secretaria Medicina</cp:lastModifiedBy>
  <dcterms:modified xsi:type="dcterms:W3CDTF">2023-04-12T13:11:37Z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FA23C4EBC1274E0593F30A4A2D03B06E</vt:lpwstr>
  </property>
</Properties>
</file>