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B9" w:rsidRDefault="006A4FA3" w:rsidP="00B2614F">
      <w:pPr>
        <w:ind w:left="1" w:hanging="3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EQUIVALÊNCIAS ENTRE COMPONENTES CURRICULARES E APROVEITAMENTO DE ESTUDOS (EE)</w:t>
      </w:r>
    </w:p>
    <w:p w:rsidR="00F174B9" w:rsidRDefault="00F174B9" w:rsidP="00B2614F">
      <w:pPr>
        <w:ind w:left="1" w:hanging="3"/>
        <w:rPr>
          <w:rFonts w:ascii="Verdana" w:eastAsia="Verdana" w:hAnsi="Verdana" w:cs="Verdana"/>
          <w:sz w:val="26"/>
          <w:szCs w:val="26"/>
        </w:rPr>
      </w:pPr>
    </w:p>
    <w:tbl>
      <w:tblPr>
        <w:tblStyle w:val="Style28"/>
        <w:tblW w:w="1511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3"/>
        <w:gridCol w:w="1695"/>
        <w:gridCol w:w="2565"/>
        <w:gridCol w:w="1950"/>
        <w:gridCol w:w="4162"/>
      </w:tblGrid>
      <w:tr w:rsidR="00F174B9"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DISCENTE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MATRÍCULA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CURSO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CURRÍCULO</w:t>
            </w: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TURNO/GRAU</w:t>
            </w:r>
          </w:p>
        </w:tc>
      </w:tr>
      <w:tr w:rsidR="00F174B9">
        <w:trPr>
          <w:trHeight w:val="435"/>
        </w:trPr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Pr="008F7F58" w:rsidRDefault="00F174B9" w:rsidP="009E2496">
            <w:pPr>
              <w:ind w:left="0" w:hanging="2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F174B9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Pr="006A4FA3" w:rsidRDefault="006A4FA3" w:rsidP="006A4F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pt-BR"/>
              </w:rPr>
              <w:t>Administração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Pr="006A4FA3" w:rsidRDefault="006A4FA3" w:rsidP="006A4FA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pt-BR"/>
              </w:rPr>
              <w:t>2019</w:t>
            </w: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Pr="008F7F58" w:rsidRDefault="00F174B9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</w:p>
        </w:tc>
      </w:tr>
    </w:tbl>
    <w:p w:rsidR="00F174B9" w:rsidRDefault="006A4FA3" w:rsidP="00B2614F">
      <w:pPr>
        <w:ind w:left="0" w:hanging="2"/>
      </w:pPr>
      <w:r>
        <w:tab/>
      </w:r>
      <w:r>
        <w:tab/>
      </w:r>
      <w:r>
        <w:tab/>
      </w:r>
      <w:r>
        <w:tab/>
      </w:r>
    </w:p>
    <w:p w:rsidR="00F174B9" w:rsidRDefault="00F174B9" w:rsidP="00B2614F">
      <w:pPr>
        <w:ind w:left="0" w:hanging="2"/>
        <w:rPr>
          <w:b/>
        </w:rPr>
      </w:pPr>
    </w:p>
    <w:p w:rsidR="00F174B9" w:rsidRDefault="006A4FA3" w:rsidP="00B2614F">
      <w:pPr>
        <w:ind w:left="0" w:hanging="2"/>
        <w:rPr>
          <w:b/>
        </w:rPr>
      </w:pPr>
      <w:r>
        <w:rPr>
          <w:rFonts w:ascii="Comfortaa" w:eastAsia="Comfortaa" w:hAnsi="Comfortaa" w:cs="Comfortaa"/>
          <w:b/>
        </w:rPr>
        <w:t xml:space="preserve">                    </w:t>
      </w:r>
      <w:r>
        <w:rPr>
          <w:rFonts w:ascii="Verdana" w:eastAsia="Verdana" w:hAnsi="Verdana" w:cs="Verdana"/>
          <w:b/>
          <w:sz w:val="26"/>
          <w:szCs w:val="26"/>
        </w:rPr>
        <w:t xml:space="preserve"> EQUIVALÊNCIA INTERNA (EI) ENTRE UNIDADES CURRICULARES</w:t>
      </w:r>
      <w:r>
        <w:rPr>
          <w:rFonts w:ascii="Verdana" w:eastAsia="Verdana" w:hAnsi="Verdana" w:cs="Verdana"/>
          <w:b/>
          <w:sz w:val="26"/>
          <w:szCs w:val="26"/>
          <w:vertAlign w:val="superscript"/>
        </w:rPr>
        <w:t>1</w:t>
      </w:r>
    </w:p>
    <w:tbl>
      <w:tblPr>
        <w:tblStyle w:val="Style29"/>
        <w:tblW w:w="1512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1797"/>
        <w:gridCol w:w="2634"/>
        <w:gridCol w:w="606"/>
        <w:gridCol w:w="1695"/>
        <w:gridCol w:w="3570"/>
        <w:gridCol w:w="1095"/>
        <w:gridCol w:w="1237"/>
      </w:tblGrid>
      <w:tr w:rsidR="00F174B9">
        <w:trPr>
          <w:trHeight w:val="569"/>
          <w:tblHeader/>
        </w:trPr>
        <w:tc>
          <w:tcPr>
            <w:tcW w:w="7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COMPONENTES UTILIZADOS PARA A EQUIVALÊNCIA</w:t>
            </w:r>
          </w:p>
        </w:tc>
        <w:tc>
          <w:tcPr>
            <w:tcW w:w="75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COMPONENTES QUE SERÃO INCLUÍDOS NO HISTÓRICO</w:t>
            </w:r>
          </w:p>
        </w:tc>
      </w:tr>
      <w:tr w:rsidR="00F174B9">
        <w:trPr>
          <w:trHeight w:val="525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</w:t>
            </w:r>
          </w:p>
          <w:p w:rsidR="00F174B9" w:rsidRDefault="006A4FA3" w:rsidP="00B2614F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</w:t>
            </w: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Pr="00B2614F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  <w:lang w:val="pt-BR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62760B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62760B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Pr="009E2496" w:rsidRDefault="006A4FA3" w:rsidP="00454702">
            <w:pPr>
              <w:ind w:left="0" w:hanging="2"/>
              <w:jc w:val="center"/>
              <w:rPr>
                <w:lang w:val="pt-BR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96" w:rsidRPr="0035280B" w:rsidRDefault="009E2496" w:rsidP="00454702">
            <w:pPr>
              <w:ind w:left="0" w:hanging="2"/>
              <w:jc w:val="center"/>
              <w:rPr>
                <w:sz w:val="16"/>
                <w:szCs w:val="16"/>
                <w:lang w:val="pt-BR"/>
              </w:rPr>
            </w:pPr>
          </w:p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ind w:left="0" w:hanging="2"/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Pr="009E2496" w:rsidRDefault="006A4FA3" w:rsidP="00B2614F">
            <w:pPr>
              <w:ind w:left="0" w:hanging="2"/>
              <w:rPr>
                <w:lang w:val="pt-BR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Pr="009E2496" w:rsidRDefault="006A4FA3" w:rsidP="009E2496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Pr="009E2496" w:rsidRDefault="006A4FA3" w:rsidP="0035280B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6A4FA3" w:rsidTr="006A4FA3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Pr="009E2496" w:rsidRDefault="006A4FA3" w:rsidP="00B2614F">
            <w:pPr>
              <w:ind w:left="0" w:hanging="2"/>
              <w:rPr>
                <w:lang w:val="pt-BR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9E2496">
            <w:pPr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B2614F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FA3" w:rsidRDefault="006A4FA3" w:rsidP="00B2614F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4FA3" w:rsidRDefault="006A4FA3" w:rsidP="006A4FA3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96" w:rsidRPr="009E2496" w:rsidRDefault="009E2496" w:rsidP="009E249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F174B9" w:rsidRDefault="006A4FA3" w:rsidP="00B2614F">
      <w:pPr>
        <w:ind w:left="0" w:hanging="2"/>
        <w:rPr>
          <w:rFonts w:ascii="Verdana" w:eastAsia="Verdana" w:hAnsi="Verdana" w:cs="Verdana"/>
          <w:b/>
          <w:sz w:val="26"/>
          <w:szCs w:val="26"/>
          <w:vertAlign w:val="superscript"/>
        </w:rPr>
      </w:pPr>
      <w:r>
        <w:br w:type="page"/>
      </w:r>
      <w:r>
        <w:rPr>
          <w:rFonts w:ascii="Verdana" w:eastAsia="Verdana" w:hAnsi="Verdana" w:cs="Verdana"/>
          <w:b/>
          <w:sz w:val="26"/>
          <w:szCs w:val="26"/>
        </w:rPr>
        <w:lastRenderedPageBreak/>
        <w:t>APROVEITAMENTO DE ESTUDOS (Equivalência externa)</w:t>
      </w:r>
      <w:r>
        <w:rPr>
          <w:rFonts w:ascii="Verdana" w:eastAsia="Verdana" w:hAnsi="Verdana" w:cs="Verdana"/>
          <w:b/>
          <w:sz w:val="26"/>
          <w:szCs w:val="26"/>
          <w:vertAlign w:val="superscript"/>
        </w:rPr>
        <w:t>2</w:t>
      </w:r>
    </w:p>
    <w:tbl>
      <w:tblPr>
        <w:tblStyle w:val="Style30"/>
        <w:tblW w:w="1497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4295"/>
        <w:gridCol w:w="692"/>
        <w:gridCol w:w="1678"/>
        <w:gridCol w:w="3834"/>
        <w:gridCol w:w="785"/>
        <w:gridCol w:w="1225"/>
      </w:tblGrid>
      <w:tr w:rsidR="00F174B9" w:rsidTr="004950E0">
        <w:trPr>
          <w:trHeight w:val="544"/>
          <w:tblHeader/>
        </w:trPr>
        <w:tc>
          <w:tcPr>
            <w:tcW w:w="74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INSTITUIÇÃO ONDE FORAM CURSADOS OS COMPONENTES:</w:t>
            </w:r>
          </w:p>
          <w:p w:rsidR="00F174B9" w:rsidRDefault="008F7F58" w:rsidP="009E249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52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COMPONENTES QUE SERÃO INCLUÍDOS </w:t>
            </w:r>
          </w:p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HISTÓRICO NA UFSJ</w:t>
            </w:r>
          </w:p>
        </w:tc>
      </w:tr>
      <w:tr w:rsidR="00F174B9" w:rsidTr="004950E0">
        <w:trPr>
          <w:trHeight w:val="501"/>
          <w:tblHeader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4B9" w:rsidRDefault="006A4FA3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</w:t>
            </w: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Pr="008F7F58" w:rsidRDefault="004950E0" w:rsidP="00D3375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Chars="0" w:left="0" w:firstLineChars="0" w:firstLine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D3375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Pr="009E2496" w:rsidRDefault="004950E0" w:rsidP="009E249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Pr="008F7F58" w:rsidRDefault="004950E0" w:rsidP="00D3375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Pr="00D3375D" w:rsidRDefault="004950E0" w:rsidP="00D3375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Pr="008F7F58" w:rsidRDefault="004950E0" w:rsidP="00D3375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Pr="009E2496" w:rsidRDefault="004950E0" w:rsidP="009E249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Pr="008F7F58" w:rsidRDefault="004950E0" w:rsidP="00D3375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Pr="008F7F58" w:rsidRDefault="004950E0" w:rsidP="00D3375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Pr="008F7F58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Pr="008F7F58" w:rsidRDefault="004950E0" w:rsidP="00D3375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Pr="008F7F58" w:rsidRDefault="004950E0" w:rsidP="0035280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  <w:lang w:val="pt-BR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950E0" w:rsidTr="004950E0">
        <w:trPr>
          <w:trHeight w:val="372"/>
        </w:trPr>
        <w:tc>
          <w:tcPr>
            <w:tcW w:w="2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9E249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B2614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Default="004950E0" w:rsidP="008F7F5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8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950E0" w:rsidRDefault="004950E0" w:rsidP="00693220">
            <w:pPr>
              <w:pStyle w:val="Standard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0E0" w:rsidRPr="009E2496" w:rsidRDefault="004950E0" w:rsidP="009E249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16"/>
                <w:szCs w:val="16"/>
                <w:lang w:val="pt-BR"/>
              </w:rPr>
            </w:pPr>
          </w:p>
        </w:tc>
      </w:tr>
    </w:tbl>
    <w:p w:rsidR="00F174B9" w:rsidRDefault="00F174B9" w:rsidP="00B2614F">
      <w:pPr>
        <w:ind w:left="0" w:hanging="2"/>
        <w:rPr>
          <w:sz w:val="20"/>
          <w:szCs w:val="20"/>
          <w:lang w:val="pt-BR"/>
        </w:rPr>
      </w:pPr>
    </w:p>
    <w:p w:rsidR="008F7F58" w:rsidRDefault="008F7F58" w:rsidP="00B2614F">
      <w:pPr>
        <w:ind w:left="0" w:hanging="2"/>
        <w:rPr>
          <w:sz w:val="20"/>
          <w:szCs w:val="20"/>
          <w:lang w:val="pt-BR"/>
        </w:rPr>
      </w:pPr>
    </w:p>
    <w:p w:rsidR="00D3375D" w:rsidRDefault="00D3375D" w:rsidP="00B2614F">
      <w:pPr>
        <w:ind w:left="0" w:hanging="2"/>
        <w:rPr>
          <w:sz w:val="20"/>
          <w:szCs w:val="20"/>
          <w:lang w:val="pt-BR"/>
        </w:rPr>
      </w:pPr>
    </w:p>
    <w:p w:rsidR="00D3375D" w:rsidRDefault="00D3375D" w:rsidP="00B2614F">
      <w:pPr>
        <w:ind w:left="0" w:hanging="2"/>
        <w:rPr>
          <w:sz w:val="20"/>
          <w:szCs w:val="20"/>
          <w:lang w:val="pt-BR"/>
        </w:rPr>
      </w:pPr>
    </w:p>
    <w:p w:rsidR="00D3375D" w:rsidRDefault="00D3375D" w:rsidP="00B2614F">
      <w:pPr>
        <w:ind w:left="0" w:hanging="2"/>
        <w:rPr>
          <w:sz w:val="20"/>
          <w:szCs w:val="20"/>
          <w:lang w:val="pt-BR"/>
        </w:rPr>
      </w:pPr>
    </w:p>
    <w:p w:rsidR="00D3375D" w:rsidRDefault="00D3375D" w:rsidP="00B2614F">
      <w:pPr>
        <w:ind w:left="0" w:hanging="2"/>
        <w:rPr>
          <w:sz w:val="20"/>
          <w:szCs w:val="20"/>
          <w:lang w:val="pt-BR"/>
        </w:rPr>
      </w:pPr>
    </w:p>
    <w:p w:rsidR="00F174B9" w:rsidRDefault="006A4FA3" w:rsidP="00B2614F">
      <w:pPr>
        <w:ind w:left="0" w:hanging="2"/>
        <w:rPr>
          <w:b/>
        </w:rPr>
      </w:pPr>
      <w:r>
        <w:rPr>
          <w:sz w:val="20"/>
          <w:szCs w:val="20"/>
        </w:rPr>
        <w:t>D</w:t>
      </w:r>
      <w:r w:rsidR="00D3375D">
        <w:rPr>
          <w:sz w:val="20"/>
          <w:szCs w:val="20"/>
        </w:rPr>
        <w:t>ata:</w:t>
      </w:r>
      <w:r>
        <w:t xml:space="preserve">                                                                                                     </w:t>
      </w:r>
      <w:r w:rsidR="00693220">
        <w:rPr>
          <w:lang w:val="pt-BR"/>
        </w:rPr>
        <w:t xml:space="preserve">                     </w:t>
      </w:r>
      <w:r>
        <w:t xml:space="preserve">  </w:t>
      </w:r>
      <w:r>
        <w:rPr>
          <w:b/>
        </w:rPr>
        <w:t xml:space="preserve"> _______________________________</w:t>
      </w:r>
    </w:p>
    <w:p w:rsidR="00F174B9" w:rsidRDefault="006A4FA3" w:rsidP="00B2614F">
      <w:pPr>
        <w:ind w:left="0" w:hanging="2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Assinatura </w:t>
      </w:r>
    </w:p>
    <w:p w:rsidR="00F174B9" w:rsidRDefault="006A4FA3" w:rsidP="00F174B9">
      <w:pPr>
        <w:ind w:left="0" w:hanging="2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Coordenador (a) do curso                                                                                                                         </w:t>
      </w:r>
    </w:p>
    <w:sectPr w:rsidR="00F17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B7" w:rsidRDefault="006E1DB7" w:rsidP="00B2614F">
      <w:pPr>
        <w:spacing w:line="240" w:lineRule="auto"/>
        <w:ind w:left="0" w:hanging="2"/>
      </w:pPr>
      <w:r>
        <w:separator/>
      </w:r>
    </w:p>
  </w:endnote>
  <w:endnote w:type="continuationSeparator" w:id="0">
    <w:p w:rsidR="006E1DB7" w:rsidRDefault="006E1DB7" w:rsidP="00B261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fortaa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58" w:rsidRDefault="008F7F58" w:rsidP="004950E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58" w:rsidRDefault="008F7F58" w:rsidP="00B2614F">
    <w:pPr>
      <w:numPr>
        <w:ilvl w:val="0"/>
        <w:numId w:val="1"/>
      </w:numP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Art. 2° da Resolução Conep/UFSJ n. 11, de 25/05/2022.</w:t>
    </w:r>
  </w:p>
  <w:p w:rsidR="008F7F58" w:rsidRDefault="008F7F58" w:rsidP="00B2614F">
    <w:pPr>
      <w:numPr>
        <w:ilvl w:val="0"/>
        <w:numId w:val="1"/>
      </w:numP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Art. 3° da Resolução Conep/UFSJ n. 11, de 25/05/2022.</w:t>
    </w:r>
  </w:p>
  <w:p w:rsidR="008F7F58" w:rsidRDefault="008F7F58" w:rsidP="00B2614F">
    <w:pP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              </w:t>
    </w:r>
    <w:r>
      <w:rPr>
        <w:rFonts w:ascii="Tahoma" w:eastAsia="Tahoma" w:hAnsi="Tahoma" w:cs="Tahoma"/>
        <w:color w:val="000000"/>
        <w:sz w:val="16"/>
        <w:szCs w:val="16"/>
      </w:rPr>
      <w:t xml:space="preserve">Resolução Conep/UFSJ n. 11, de 25/05/2022-  Disponível em </w:t>
    </w:r>
    <w:hyperlink r:id="rId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https://sig.ufsj.edu.br/sigrh/public/colegiados/resolucoes.jsf</w:t>
      </w:r>
    </w:hyperlink>
    <w:r>
      <w:rPr>
        <w:rFonts w:ascii="Tahoma" w:eastAsia="Tahoma" w:hAnsi="Tahoma" w:cs="Tahoma"/>
        <w:color w:val="000000"/>
        <w:sz w:val="16"/>
        <w:szCs w:val="16"/>
      </w:rPr>
      <w:t xml:space="preserve"> </w:t>
    </w:r>
  </w:p>
  <w:p w:rsidR="008F7F58" w:rsidRDefault="008F7F58" w:rsidP="00B2614F">
    <w:pPr>
      <w:spacing w:line="240" w:lineRule="auto"/>
      <w:rPr>
        <w:rFonts w:ascii="Times New Roman" w:eastAsia="Times New Roman" w:hAnsi="Times New Roman" w:cs="Times New Roman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58" w:rsidRDefault="008F7F58" w:rsidP="004950E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B7" w:rsidRDefault="006E1DB7" w:rsidP="00B2614F">
      <w:pPr>
        <w:ind w:left="0" w:hanging="2"/>
      </w:pPr>
      <w:r>
        <w:separator/>
      </w:r>
    </w:p>
  </w:footnote>
  <w:footnote w:type="continuationSeparator" w:id="0">
    <w:p w:rsidR="006E1DB7" w:rsidRDefault="006E1DB7" w:rsidP="00B2614F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58" w:rsidRDefault="008F7F58" w:rsidP="004950E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58" w:rsidRDefault="008F7F58" w:rsidP="00B2614F">
    <w:pPr>
      <w:ind w:left="0" w:hanging="2"/>
      <w:rPr>
        <w:sz w:val="20"/>
        <w:szCs w:val="20"/>
      </w:rPr>
    </w:pPr>
    <w:r>
      <w:rPr>
        <w:noProof/>
        <w:lang w:val="pt-BR"/>
      </w:rPr>
      <w:drawing>
        <wp:inline distT="0" distB="0" distL="114300" distR="114300" wp14:anchorId="0145F299" wp14:editId="737889D2">
          <wp:extent cx="2867025" cy="96647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 r="55974"/>
                  <a:stretch>
                    <a:fillRect/>
                  </a:stretch>
                </pic:blipFill>
                <pic:spPr>
                  <a:xfrm>
                    <a:off x="0" y="0"/>
                    <a:ext cx="2867025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sz w:val="20"/>
        <w:szCs w:val="20"/>
      </w:rPr>
      <w:t xml:space="preserve">  </w:t>
    </w:r>
  </w:p>
  <w:p w:rsidR="008F7F58" w:rsidRDefault="008F7F58" w:rsidP="00B2614F">
    <w:pPr>
      <w:ind w:left="0" w:hanging="2"/>
      <w:jc w:val="both"/>
      <w:rPr>
        <w:sz w:val="16"/>
        <w:szCs w:val="16"/>
        <w:lang w:val="pt-BR"/>
      </w:rPr>
    </w:pPr>
    <w:r>
      <w:rPr>
        <w:sz w:val="16"/>
        <w:szCs w:val="16"/>
      </w:rPr>
      <w:t xml:space="preserve">                                      Instituída pela Lei n. 10.425, de 19/04/2002 - DOU de 22/04/2002</w:t>
    </w:r>
  </w:p>
  <w:p w:rsidR="00D3375D" w:rsidRPr="00D3375D" w:rsidRDefault="00D3375D" w:rsidP="00B2614F">
    <w:pPr>
      <w:ind w:left="0" w:hanging="2"/>
      <w:jc w:val="both"/>
      <w:rPr>
        <w:sz w:val="16"/>
        <w:szCs w:val="16"/>
        <w:lang w:val="pt-BR"/>
      </w:rPr>
    </w:pPr>
  </w:p>
  <w:p w:rsidR="008F7F58" w:rsidRDefault="008F7F58" w:rsidP="00B2614F">
    <w:pPr>
      <w:ind w:left="0" w:hanging="2"/>
      <w:rPr>
        <w:sz w:val="16"/>
        <w:szCs w:val="16"/>
      </w:rPr>
    </w:pPr>
  </w:p>
  <w:p w:rsidR="008F7F58" w:rsidRDefault="008F7F58" w:rsidP="00B2614F">
    <w:pPr>
      <w:spacing w:line="360" w:lineRule="auto"/>
      <w:ind w:left="0" w:hanging="2"/>
      <w:jc w:val="both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Pró-Reitoria de Ensino de Graduação </w:t>
    </w:r>
  </w:p>
  <w:p w:rsidR="008F7F58" w:rsidRDefault="008F7F58" w:rsidP="00B2614F">
    <w:pPr>
      <w:spacing w:line="360" w:lineRule="auto"/>
      <w:ind w:left="0" w:hanging="2"/>
      <w:jc w:val="both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b/>
        <w:sz w:val="24"/>
        <w:szCs w:val="24"/>
      </w:rPr>
      <w:t>DIVISÃO DE ACOMPANHAMENTO E CONTROLE ACADÊMICO</w:t>
    </w:r>
    <w:r>
      <w:rPr>
        <w:rFonts w:ascii="Verdana" w:eastAsia="Verdana" w:hAnsi="Verdana" w:cs="Verdana"/>
        <w:sz w:val="24"/>
        <w:szCs w:val="24"/>
      </w:rPr>
      <w:t xml:space="preserve">  - </w:t>
    </w:r>
    <w:r>
      <w:rPr>
        <w:rFonts w:ascii="Verdana" w:eastAsia="Verdana" w:hAnsi="Verdana" w:cs="Verdana"/>
        <w:b/>
        <w:sz w:val="24"/>
        <w:szCs w:val="24"/>
      </w:rPr>
      <w:t>DICON</w:t>
    </w:r>
  </w:p>
  <w:p w:rsidR="008F7F58" w:rsidRDefault="008F7F58" w:rsidP="00B2614F">
    <w:pPr>
      <w:spacing w:line="360" w:lineRule="auto"/>
      <w:ind w:left="0" w:hanging="2"/>
      <w:jc w:val="both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58" w:rsidRDefault="008F7F58" w:rsidP="004950E0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74B9"/>
    <w:rsid w:val="000033E6"/>
    <w:rsid w:val="00047B0F"/>
    <w:rsid w:val="001C2E26"/>
    <w:rsid w:val="00304275"/>
    <w:rsid w:val="003343C6"/>
    <w:rsid w:val="0035280B"/>
    <w:rsid w:val="00454702"/>
    <w:rsid w:val="004950E0"/>
    <w:rsid w:val="0062760B"/>
    <w:rsid w:val="00693220"/>
    <w:rsid w:val="006A4FA3"/>
    <w:rsid w:val="006E1DB7"/>
    <w:rsid w:val="006F3564"/>
    <w:rsid w:val="007D400E"/>
    <w:rsid w:val="008667DC"/>
    <w:rsid w:val="008758B8"/>
    <w:rsid w:val="008F7F58"/>
    <w:rsid w:val="009E2496"/>
    <w:rsid w:val="00B2614F"/>
    <w:rsid w:val="00B4030E"/>
    <w:rsid w:val="00D3375D"/>
    <w:rsid w:val="00F174B9"/>
    <w:rsid w:val="00F379C7"/>
    <w:rsid w:val="1B0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uppressAutoHyphens/>
      <w:spacing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val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1"/>
    <w:rPr>
      <w:color w:val="0000FF"/>
      <w:w w:val="100"/>
      <w:position w:val="-1"/>
      <w:u w:val="single"/>
      <w:vertAlign w:val="baseline"/>
      <w:cs w:val="0"/>
    </w:rPr>
  </w:style>
  <w:style w:type="character" w:customStyle="1" w:styleId="Fontepargpadro1">
    <w:name w:val="Fonte parág. padrão1"/>
    <w:rPr>
      <w:w w:val="100"/>
      <w:position w:val="-1"/>
      <w:vertAlign w:val="baseline"/>
      <w:cs w:val="0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pPr>
      <w:suppressAutoHyphens/>
      <w:spacing w:before="100" w:beforeAutospacing="1" w:after="100" w:afterAutospacing="1"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4"/>
      <w:lang w:val="en-US" w:eastAsia="zh-CN" w:bidi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pPr>
      <w:keepNext/>
      <w:keepLines/>
      <w:spacing w:before="400" w:after="120"/>
    </w:pPr>
    <w:rPr>
      <w:sz w:val="40"/>
      <w:szCs w:val="40"/>
    </w:rPr>
  </w:style>
  <w:style w:type="paragraph" w:customStyle="1" w:styleId="Ttulo21">
    <w:name w:val="Título 21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Ttulo31">
    <w:name w:val="Título 31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Ttulo41">
    <w:name w:val="Título 41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Ttulo51">
    <w:name w:val="Título 51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customStyle="1" w:styleId="Ttulo61">
    <w:name w:val="Título 61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Rodap1">
    <w:name w:val="Rodapé1"/>
    <w:basedOn w:val="Normal"/>
    <w:pPr>
      <w:tabs>
        <w:tab w:val="center" w:pos="4252"/>
        <w:tab w:val="right" w:pos="8504"/>
      </w:tabs>
    </w:pPr>
  </w:style>
  <w:style w:type="paragraph" w:customStyle="1" w:styleId="Subttulo1">
    <w:name w:val="Subtítulo1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10">
    <w:name w:val="_Style 1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8">
    <w:name w:val="_Style 2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9">
    <w:name w:val="_Style 2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rsid w:val="00B26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2614F"/>
    <w:rPr>
      <w:rFonts w:ascii="Tahoma" w:hAnsi="Tahoma" w:cs="Tahoma"/>
      <w:position w:val="-1"/>
      <w:sz w:val="16"/>
      <w:szCs w:val="16"/>
      <w:lang w:val="zh-CN"/>
    </w:rPr>
  </w:style>
  <w:style w:type="paragraph" w:customStyle="1" w:styleId="Standard">
    <w:name w:val="Standard"/>
    <w:rsid w:val="00B2614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Cabealho">
    <w:name w:val="header"/>
    <w:basedOn w:val="Normal"/>
    <w:link w:val="CabealhoChar"/>
    <w:rsid w:val="004950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950E0"/>
    <w:rPr>
      <w:position w:val="-1"/>
      <w:sz w:val="22"/>
      <w:szCs w:val="22"/>
      <w:lang w:val="zh-CN"/>
    </w:rPr>
  </w:style>
  <w:style w:type="paragraph" w:styleId="Rodap">
    <w:name w:val="footer"/>
    <w:basedOn w:val="Normal"/>
    <w:link w:val="RodapChar"/>
    <w:rsid w:val="004950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4950E0"/>
    <w:rPr>
      <w:position w:val="-1"/>
      <w:sz w:val="22"/>
      <w:szCs w:val="22"/>
      <w:lang w:val="zh-CN"/>
    </w:rPr>
  </w:style>
  <w:style w:type="character" w:customStyle="1" w:styleId="fontstyle01">
    <w:name w:val="fontstyle01"/>
    <w:basedOn w:val="Fontepargpadro"/>
    <w:rsid w:val="009E249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uppressAutoHyphens/>
      <w:spacing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val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1"/>
    <w:rPr>
      <w:color w:val="0000FF"/>
      <w:w w:val="100"/>
      <w:position w:val="-1"/>
      <w:u w:val="single"/>
      <w:vertAlign w:val="baseline"/>
      <w:cs w:val="0"/>
    </w:rPr>
  </w:style>
  <w:style w:type="character" w:customStyle="1" w:styleId="Fontepargpadro1">
    <w:name w:val="Fonte parág. padrão1"/>
    <w:rPr>
      <w:w w:val="100"/>
      <w:position w:val="-1"/>
      <w:vertAlign w:val="baseline"/>
      <w:cs w:val="0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pPr>
      <w:suppressAutoHyphens/>
      <w:spacing w:before="100" w:beforeAutospacing="1" w:after="100" w:afterAutospacing="1"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4"/>
      <w:lang w:val="en-US" w:eastAsia="zh-CN" w:bidi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pPr>
      <w:keepNext/>
      <w:keepLines/>
      <w:spacing w:before="400" w:after="120"/>
    </w:pPr>
    <w:rPr>
      <w:sz w:val="40"/>
      <w:szCs w:val="40"/>
    </w:rPr>
  </w:style>
  <w:style w:type="paragraph" w:customStyle="1" w:styleId="Ttulo21">
    <w:name w:val="Título 21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Ttulo31">
    <w:name w:val="Título 31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Ttulo41">
    <w:name w:val="Título 41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Ttulo51">
    <w:name w:val="Título 51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customStyle="1" w:styleId="Ttulo61">
    <w:name w:val="Título 61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customStyle="1" w:styleId="Rodap1">
    <w:name w:val="Rodapé1"/>
    <w:basedOn w:val="Normal"/>
    <w:pPr>
      <w:tabs>
        <w:tab w:val="center" w:pos="4252"/>
        <w:tab w:val="right" w:pos="8504"/>
      </w:tabs>
    </w:pPr>
  </w:style>
  <w:style w:type="paragraph" w:customStyle="1" w:styleId="Subttulo1">
    <w:name w:val="Subtítulo1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10">
    <w:name w:val="_Style 1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8">
    <w:name w:val="_Style 2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9">
    <w:name w:val="_Style 2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0">
    <w:name w:val="_Style 3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rsid w:val="00B26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2614F"/>
    <w:rPr>
      <w:rFonts w:ascii="Tahoma" w:hAnsi="Tahoma" w:cs="Tahoma"/>
      <w:position w:val="-1"/>
      <w:sz w:val="16"/>
      <w:szCs w:val="16"/>
      <w:lang w:val="zh-CN"/>
    </w:rPr>
  </w:style>
  <w:style w:type="paragraph" w:customStyle="1" w:styleId="Standard">
    <w:name w:val="Standard"/>
    <w:rsid w:val="00B2614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Cabealho">
    <w:name w:val="header"/>
    <w:basedOn w:val="Normal"/>
    <w:link w:val="CabealhoChar"/>
    <w:rsid w:val="004950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950E0"/>
    <w:rPr>
      <w:position w:val="-1"/>
      <w:sz w:val="22"/>
      <w:szCs w:val="22"/>
      <w:lang w:val="zh-CN"/>
    </w:rPr>
  </w:style>
  <w:style w:type="paragraph" w:styleId="Rodap">
    <w:name w:val="footer"/>
    <w:basedOn w:val="Normal"/>
    <w:link w:val="RodapChar"/>
    <w:rsid w:val="004950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4950E0"/>
    <w:rPr>
      <w:position w:val="-1"/>
      <w:sz w:val="22"/>
      <w:szCs w:val="22"/>
      <w:lang w:val="zh-CN"/>
    </w:rPr>
  </w:style>
  <w:style w:type="character" w:customStyle="1" w:styleId="fontstyle01">
    <w:name w:val="fontstyle01"/>
    <w:basedOn w:val="Fontepargpadro"/>
    <w:rsid w:val="009E249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ig.ufsj.edu.br/sigrh/public/colegiados/resolucoes.js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utRcwcKdQhmn2E62EcftqI72w==">CgMxLjA4AHIhMU9nQldNTXJudWc1WjBidXZmbUtvOE44TEtOWi1OcDdV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8</cp:revision>
  <cp:lastPrinted>2023-10-03T16:31:00Z</cp:lastPrinted>
  <dcterms:created xsi:type="dcterms:W3CDTF">2023-10-03T00:16:00Z</dcterms:created>
  <dcterms:modified xsi:type="dcterms:W3CDTF">2023-10-30T22:32:00Z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7AF1EF92DF4647B9BD7BDD957AFC35C6_13</vt:lpwstr>
  </property>
</Properties>
</file>