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tbl>
      <w:tblPr>
        <w:tblStyle w:val="16"/>
        <w:tblW w:w="8644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6976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drawing>
                <wp:inline distT="0" distB="0" distL="0" distR="0">
                  <wp:extent cx="892175" cy="502920"/>
                  <wp:effectExtent l="0" t="0" r="0" b="0"/>
                  <wp:docPr id="2" name="image1.jpg" descr="http://www.ufsj.edu.br/portal2-repositorio/Image/ascom/2010/padronizado/ufsj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g" descr="http://www.ufsj.edu.br/portal2-repositorio/Image/ascom/2010/padronizado/ufsj_logo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788" cy="503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UNIVERSIDADE FEDERAL DE SÃO JOÃO DEL-REI – UFSJ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INSTITUÍDA PELA LEI Nº 10.425 DE 19/04/2002 – DOU DE 22/04/2002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PRÓ-REITORIA E ENSINO DE GRADUAÇÃO – PROEN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DIVISÃO DE CONTROLE E ACOMPANHAMENTO ACADÊMICO - DICON</w:t>
            </w:r>
          </w:p>
        </w:tc>
      </w:tr>
    </w:tbl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Planilha para Equivalência entre Unidades Curriculares e Aproveitamentos de Estudos</w:t>
      </w:r>
    </w:p>
    <w:tbl>
      <w:tblPr>
        <w:tblStyle w:val="17"/>
        <w:tblW w:w="87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2529"/>
        <w:gridCol w:w="1219"/>
        <w:gridCol w:w="1272"/>
        <w:gridCol w:w="1269"/>
        <w:gridCol w:w="11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Discente:</w:t>
            </w:r>
          </w:p>
        </w:tc>
        <w:tc>
          <w:tcPr>
            <w:tcW w:w="5020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6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Matrícula:</w:t>
            </w:r>
          </w:p>
        </w:tc>
        <w:tc>
          <w:tcPr>
            <w:tcW w:w="119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tcBorders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Curso:</w:t>
            </w:r>
          </w:p>
        </w:tc>
        <w:tc>
          <w:tcPr>
            <w:tcW w:w="2529" w:type="dxa"/>
            <w:tcBorders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Engenharia Elétrica</w:t>
            </w:r>
          </w:p>
        </w:tc>
        <w:tc>
          <w:tcPr>
            <w:tcW w:w="1219" w:type="dxa"/>
            <w:tcBorders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Currículo:</w:t>
            </w:r>
          </w:p>
        </w:tc>
        <w:tc>
          <w:tcPr>
            <w:tcW w:w="1272" w:type="dxa"/>
            <w:tcBorders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69" w:type="dxa"/>
            <w:tcBorders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 xml:space="preserve">Turno: </w:t>
            </w:r>
          </w:p>
        </w:tc>
        <w:tc>
          <w:tcPr>
            <w:tcW w:w="1193" w:type="dxa"/>
            <w:tcBorders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6"/>
            <w:tcBorders>
              <w:bottom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Curso/Universidade onde foram realizados os estudos: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6"/>
            <w:tcBorders>
              <w:top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</w:tbl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Equivalências (Interna – EI ou Externa – EE)</w:t>
      </w:r>
    </w:p>
    <w:tbl>
      <w:tblPr>
        <w:tblStyle w:val="18"/>
        <w:tblW w:w="864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1559"/>
        <w:gridCol w:w="2835"/>
        <w:gridCol w:w="11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Unidades Curriculares Cursadas</w:t>
            </w:r>
            <w:r>
              <w:rPr>
                <w:rFonts w:ascii="Times New Roman" w:hAnsi="Times New Roman" w:eastAsia="Times New Roman" w:cs="Times New Roman"/>
                <w:b/>
                <w:vertAlign w:val="superscript"/>
                <w:rtl w:val="0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Carga Horária (ha)</w:t>
            </w:r>
            <w:r>
              <w:rPr>
                <w:rFonts w:ascii="Times New Roman" w:hAnsi="Times New Roman" w:eastAsia="Times New Roman" w:cs="Times New Roman"/>
                <w:b/>
                <w:vertAlign w:val="superscript"/>
                <w:rtl w:val="0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Equivalência na UFSJ</w:t>
            </w:r>
          </w:p>
        </w:tc>
        <w:tc>
          <w:tcPr>
            <w:tcW w:w="116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Nota final</w:t>
            </w:r>
            <w:r>
              <w:rPr>
                <w:rFonts w:ascii="Times New Roman" w:hAnsi="Times New Roman" w:eastAsia="Times New Roman" w:cs="Times New Roman"/>
                <w:b/>
                <w:vertAlign w:val="superscript"/>
                <w:rtl w:val="0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bookmarkStart w:id="0" w:name="_heading=h.gjdgxs" w:colFirst="0" w:colLast="0"/>
            <w:bookmarkEnd w:id="0"/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1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1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1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1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1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1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1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1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</w:tbl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Aproveitamento de Estudos (AE)</w:t>
      </w:r>
    </w:p>
    <w:tbl>
      <w:tblPr>
        <w:tblStyle w:val="19"/>
        <w:tblW w:w="864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1559"/>
        <w:gridCol w:w="2835"/>
        <w:gridCol w:w="11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Unidades Curriculares Cursadas</w:t>
            </w:r>
            <w:r>
              <w:rPr>
                <w:rFonts w:ascii="Times New Roman" w:hAnsi="Times New Roman" w:eastAsia="Times New Roman" w:cs="Times New Roman"/>
                <w:b/>
                <w:vertAlign w:val="superscript"/>
                <w:rtl w:val="0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Natureza</w:t>
            </w:r>
            <w:r>
              <w:rPr>
                <w:rFonts w:ascii="Times New Roman" w:hAnsi="Times New Roman" w:eastAsia="Times New Roman" w:cs="Times New Roman"/>
                <w:b/>
                <w:vertAlign w:val="superscript"/>
                <w:rtl w:val="0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Carga Horária (ha)</w:t>
            </w:r>
          </w:p>
        </w:tc>
        <w:tc>
          <w:tcPr>
            <w:tcW w:w="116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Nota final</w:t>
            </w:r>
            <w:r>
              <w:rPr>
                <w:rFonts w:ascii="Times New Roman" w:hAnsi="Times New Roman" w:eastAsia="Times New Roman" w:cs="Times New Roman"/>
                <w:b/>
                <w:vertAlign w:val="superscript"/>
                <w:rtl w:val="0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1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1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1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1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1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1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1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1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1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</w:tbl>
    <w:p>
      <w:pPr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  <w:rtl w:val="0"/>
        </w:rPr>
        <w:t>1 – Nome traduzido com o nome original entre parêntesis se for o caso.</w:t>
      </w:r>
    </w:p>
    <w:p>
      <w:pPr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  <w:rtl w:val="0"/>
        </w:rPr>
        <w:t>2 – Carga horária utilizada no aproveitamento.</w:t>
      </w:r>
    </w:p>
    <w:p>
      <w:pPr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  <w:rtl w:val="0"/>
        </w:rPr>
        <w:t>3 – Nota convertida em termos do § 2º do art. 5º da Resolução/CONEP nº13, de 29/04/2015.</w:t>
      </w:r>
    </w:p>
    <w:p>
      <w:pPr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  <w:rtl w:val="0"/>
        </w:rPr>
        <w:t xml:space="preserve">4 – Aproveitamento como UC optativa, eletiva ou em bloco. </w:t>
      </w:r>
      <w:bookmarkStart w:id="1" w:name="_GoBack"/>
      <w:bookmarkEnd w:id="1"/>
    </w:p>
    <w:sectPr>
      <w:pgSz w:w="11906" w:h="16838"/>
      <w:pgMar w:top="1417" w:right="1701" w:bottom="1417" w:left="1701" w:header="708" w:footer="708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1F214A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99" w:name="Balloon Text"/>
    <w:lsdException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t-BR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9">
    <w:name w:val="Balloon Text"/>
    <w:basedOn w:val="1"/>
    <w:link w:val="1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0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3">
    <w:name w:val="Table Grid"/>
    <w:basedOn w:val="1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Table Normal"/>
    <w:uiPriority w:val="0"/>
  </w:style>
  <w:style w:type="character" w:customStyle="1" w:styleId="15">
    <w:name w:val="Texto de balão Char"/>
    <w:basedOn w:val="11"/>
    <w:link w:val="9"/>
    <w:semiHidden/>
    <w:uiPriority w:val="99"/>
    <w:rPr>
      <w:rFonts w:ascii="Tahoma" w:hAnsi="Tahoma" w:cs="Tahoma"/>
      <w:sz w:val="16"/>
      <w:szCs w:val="16"/>
    </w:rPr>
  </w:style>
  <w:style w:type="table" w:customStyle="1" w:styleId="16">
    <w:name w:val="_Style 16"/>
    <w:basedOn w:val="14"/>
    <w:uiPriority w:val="0"/>
    <w:pPr>
      <w:spacing w:after="0" w:line="240" w:lineRule="auto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_Style 17"/>
    <w:basedOn w:val="14"/>
    <w:uiPriority w:val="0"/>
    <w:pPr>
      <w:spacing w:after="0" w:line="240" w:lineRule="auto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_Style 18"/>
    <w:basedOn w:val="14"/>
    <w:uiPriority w:val="0"/>
    <w:pPr>
      <w:spacing w:after="0" w:line="240" w:lineRule="auto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_Style 19"/>
    <w:basedOn w:val="14"/>
    <w:uiPriority w:val="0"/>
    <w:pPr>
      <w:spacing w:after="0" w:line="240" w:lineRule="auto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kG0cu85/nhybhMTUrb6B4o//DA==">AMUW2mXdWU6IbV6ca8TqMkoq1WDAW4g6XE2q3IQvGcvwIBKGaf6rY/XwsLHBSQ3AkzJChqhY0PE8h9SuwOUR7CKbpcuQEeRxD+y4Bp4/cWaO4ZrsvJNKbjAh6vjQX3HTZTdtShDPxCWR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72</TotalTime>
  <ScaleCrop>false</ScaleCrop>
  <LinksUpToDate>false</LinksUpToDate>
  <Application>WPS Office_11.2.0.8668_F1E327BC-269C-435d-A152-05C5408002CA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2015-07-07T16:00:00Z</dcterms:created>
  <dc:creator>Microsoft</dc:creator>
  <cp:lastModifiedBy>107251</cp:lastModifiedBy>
  <dcterms:modified xsi:type="dcterms:W3CDTF">2022-05-30T16:44:02Z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