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81"/>
        <w:gridCol w:w="6373"/>
      </w:tblGrid>
      <w:tr>
        <w:trPr/>
        <w:tc>
          <w:tcPr>
            <w:tcW w:w="2381" w:type="dxa"/>
            <w:tcBorders/>
            <w:shd w:color="auto" w:fill="auto" w:val="clear"/>
            <w:vAlign w:val="center"/>
          </w:tcPr>
          <w:p>
            <w:pPr>
              <w:pStyle w:val="Cabealho"/>
              <w:snapToGrid w:val="false"/>
              <w:spacing w:lineRule="auto" w:line="276"/>
              <w:jc w:val="center"/>
              <w:rPr>
                <w:sz w:val="16"/>
              </w:rPr>
            </w:pPr>
            <w:r>
              <w:rPr/>
              <w:drawing>
                <wp:inline distT="0" distB="0" distL="0" distR="0">
                  <wp:extent cx="1374775" cy="78295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/>
            <w:shd w:color="auto" w:fill="auto" w:val="clear"/>
            <w:vAlign w:val="center"/>
          </w:tcPr>
          <w:p>
            <w:pPr>
              <w:pStyle w:val="Ttulododocumento"/>
              <w:snapToGrid w:val="false"/>
              <w:spacing w:lineRule="auto" w:line="24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UNIVERSIDADE FEDERAL DE SÃO JOÃO DEL-REI – UFSJ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Instituída pela Lei n</w:t>
            </w:r>
            <w:r>
              <w:rPr>
                <w:rFonts w:ascii="Arial" w:hAnsi="Arial"/>
                <w:caps/>
                <w:sz w:val="14"/>
                <w:szCs w:val="14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caps/>
                <w:sz w:val="14"/>
                <w:szCs w:val="14"/>
              </w:rPr>
              <w:t>10.425, de 19/04/2002 – D.O.U. DE 22/04/2002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PRÓ-REITORIA DE ENSINO DE GRADUAÇÃO – PROEN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COORDENADORIA DO CURSO DE LETRAS – COLET</w:t>
            </w:r>
          </w:p>
        </w:tc>
      </w:tr>
    </w:tbl>
    <w:p>
      <w:pPr>
        <w:pStyle w:val="Normal"/>
        <w:jc w:val="center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tbl>
      <w:tblPr>
        <w:tblW w:w="8721" w:type="dxa"/>
        <w:jc w:val="left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2" w:type="dxa"/>
          <w:bottom w:w="0" w:type="dxa"/>
          <w:right w:w="108" w:type="dxa"/>
        </w:tblCellMar>
        <w:tblLook w:val="01e0"/>
      </w:tblPr>
      <w:tblGrid>
        <w:gridCol w:w="1889"/>
        <w:gridCol w:w="1492"/>
        <w:gridCol w:w="747"/>
        <w:gridCol w:w="692"/>
        <w:gridCol w:w="1584"/>
        <w:gridCol w:w="2317"/>
      </w:tblGrid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12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5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640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Estágio Curricular Supervisionado: Avaliação</w:t>
            </w:r>
          </w:p>
        </w:tc>
        <w:tc>
          <w:tcPr>
            <w:tcW w:w="23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6404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da Professora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231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18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2º/2017</w:t>
            </w:r>
          </w:p>
        </w:tc>
        <w:tc>
          <w:tcPr>
            <w:tcW w:w="451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3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CONTAC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188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4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231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18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(Optativa)</w:t>
            </w:r>
          </w:p>
        </w:tc>
        <w:tc>
          <w:tcPr>
            <w:tcW w:w="29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5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Correquisito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/>
                <w:spacing w:val="0"/>
                <w:sz w:val="20"/>
                <w:szCs w:val="20"/>
              </w:rPr>
              <w:t xml:space="preserve">Conceito de avaliação. </w:t>
            </w:r>
            <w:r>
              <w:rPr>
                <w:rFonts w:cs="Arial" w:ascii="Arial" w:hAnsi="Arial"/>
                <w:sz w:val="20"/>
                <w:szCs w:val="20"/>
              </w:rPr>
              <w:t>A avaliação como um recurso classificatório e excludente. A avaliação como recurso diagnóstico e contínuo. Condições culturais e escolares da prática da avaliação. Avaliação medidora e avaliação mediadora. A avaliação de textos escritos.</w:t>
            </w:r>
          </w:p>
        </w:tc>
      </w:tr>
      <w:tr>
        <w:trPr>
          <w:trHeight w:val="327" w:hRule="atLeast"/>
        </w:trPr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1) Construir um conceito de avaliação, a partir dos já existentes no meio escolar.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2) Discutir sobre a prática da avaliação como um recurso classificatório e  excludente.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3) Abordar a avaliação como recurso diagnóstico e contínuo.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4) Estudar as condições culturais e escolares da prática da avaliação.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5) Abordar possibilidades da passagem da avaliação medidora para a avaliação mediadora.    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7) Abordar aspectos referentes à avaliação de textos escritos.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 Aspectos conceituais de avaliação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a) Professores e avaliação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b) Alunos e avaliação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c) Planos de ensino e avaliação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d) O que seria uma avaliação?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 Avaliação como exclusão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a) Avaliação como atividade meritocrática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b) Estigmas e exclusões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c) Classificações estabelecidas pela avaliação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 Avaliação diagnóstica e contínua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a) O que é uma avaliação diagnóstica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b) O que é uma avaliação contínua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c) Medidas pedagógicas e práticas a partir de uma avaliação diagnóstica e contínua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4. Avaliação medidora e avaliação mediadora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  <w:szCs w:val="20"/>
              </w:rPr>
              <w:t>a) A avaliação como elemento medidor e quantitativo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b) A avaliação como elemento mediador e qualitativo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c) Possibilidades de integração entre teste, prova e avaliação mediadora e qualitativa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5. Avaliação da textualidade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a) Análise dos fatores de textualidade em textos escritos.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Seminários      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Trabalhos em grupo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Apresentações orais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 de Relatório de Estágio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20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Relatório de estágio (apresentação oral e escrita).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 w:eastAsia="Times New Roman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  <w:t xml:space="preserve">MORETTO, Vasco Pedro. </w:t>
            </w:r>
            <w:r>
              <w:rPr>
                <w:rFonts w:ascii="Arial" w:hAnsi="Arial"/>
                <w:b/>
                <w:bCs/>
                <w:iCs/>
                <w:spacing w:val="0"/>
                <w:sz w:val="20"/>
                <w:szCs w:val="18"/>
              </w:rPr>
              <w:t>Prova:</w:t>
            </w:r>
            <w:r>
              <w:rPr>
                <w:rFonts w:ascii="Arial" w:hAnsi="Arial"/>
                <w:spacing w:val="0"/>
                <w:sz w:val="20"/>
                <w:szCs w:val="18"/>
              </w:rPr>
              <w:t>um momento privilegiado de estudo – não um acerto de contas. Rio de Janeiro: DP&amp;A Editora, 2001.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  <w:t xml:space="preserve">ROMÃO, José Eustáquio. </w:t>
            </w:r>
            <w:r>
              <w:rPr>
                <w:rFonts w:ascii="Arial" w:hAnsi="Arial"/>
                <w:b/>
                <w:bCs/>
                <w:iCs/>
                <w:spacing w:val="0"/>
                <w:sz w:val="20"/>
                <w:szCs w:val="18"/>
              </w:rPr>
              <w:t>Avaliação dialógica</w:t>
            </w:r>
            <w:r>
              <w:rPr>
                <w:rFonts w:ascii="Arial" w:hAnsi="Arial"/>
                <w:spacing w:val="0"/>
                <w:sz w:val="20"/>
                <w:szCs w:val="18"/>
              </w:rPr>
              <w:t>: desafios e perspectivas. São Paulo: Cortez, 1998.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 w:eastAsia="Times New Roman" w:cs="Times New Roman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  <w:t xml:space="preserve">RONCA, Paulo Afonso Caruso &amp; TERZI, Cleide do Amaral. </w:t>
            </w:r>
            <w:r>
              <w:rPr>
                <w:rFonts w:ascii="Arial" w:hAnsi="Arial"/>
                <w:b/>
                <w:bCs/>
                <w:iCs/>
                <w:spacing w:val="0"/>
                <w:sz w:val="20"/>
                <w:szCs w:val="18"/>
              </w:rPr>
              <w:t>A prova operatória:</w:t>
            </w:r>
            <w:r>
              <w:rPr>
                <w:rFonts w:ascii="Arial" w:hAnsi="Arial"/>
                <w:spacing w:val="0"/>
                <w:sz w:val="20"/>
                <w:szCs w:val="18"/>
              </w:rPr>
              <w:t>contribuições da psicologia do desenvolvimento. São Paulo: Edesplan, 1991.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872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</w:rPr>
              <w:t xml:space="preserve">BRASIL, Ministério da Educação e do Desporto. </w:t>
            </w:r>
            <w:r>
              <w:rPr>
                <w:rFonts w:cs="Arial" w:ascii="Arial" w:hAnsi="Arial"/>
                <w:b/>
                <w:bCs/>
                <w:sz w:val="20"/>
              </w:rPr>
              <w:t>Parâmetros Curriculares Nacionais: Língua Portuguesa</w:t>
            </w:r>
            <w:r>
              <w:rPr>
                <w:rFonts w:cs="Arial" w:ascii="Arial" w:hAnsi="Arial"/>
                <w:sz w:val="20"/>
              </w:rPr>
              <w:t xml:space="preserve"> / Secretaria de Educação Fundamenta. Brasília, 1997.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COSTA VAL, Maria da Graça. 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Redação e textualidade</w:t>
            </w:r>
            <w:r>
              <w:rPr>
                <w:rFonts w:cs="Arial" w:ascii="Arial" w:hAnsi="Arial"/>
                <w:sz w:val="20"/>
              </w:rPr>
              <w:t>.  São Paulo:Martins Fontes, 1994.</w:t>
            </w:r>
          </w:p>
          <w:p>
            <w:pPr>
              <w:pStyle w:val="Normal"/>
              <w:spacing w:before="0" w:after="0"/>
              <w:ind w:right="424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before="0" w:after="0"/>
              <w:ind w:right="424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FERNANDES, Domingos. </w:t>
            </w:r>
            <w:r>
              <w:rPr>
                <w:rFonts w:cs="Arial" w:ascii="Arial" w:hAnsi="Arial"/>
                <w:b/>
                <w:bCs/>
                <w:sz w:val="20"/>
              </w:rPr>
              <w:t>Avaliar para aprender</w:t>
            </w:r>
            <w:r>
              <w:rPr>
                <w:rFonts w:cs="Arial" w:ascii="Arial" w:hAnsi="Arial"/>
                <w:sz w:val="20"/>
              </w:rPr>
              <w:t>: fundamentos, práticas e políticas. São Paulo: Editora UNESP, 2009.</w:t>
            </w:r>
          </w:p>
          <w:p>
            <w:pPr>
              <w:pStyle w:val="Normal"/>
              <w:spacing w:before="0" w:after="0"/>
              <w:ind w:right="424" w:hanging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 w:cs="Times New Roman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  <w:t xml:space="preserve">PERRENOUD, Philippe. </w:t>
            </w:r>
            <w:r>
              <w:rPr>
                <w:rFonts w:ascii="Arial" w:hAnsi="Arial"/>
                <w:b/>
                <w:spacing w:val="0"/>
                <w:sz w:val="20"/>
                <w:szCs w:val="18"/>
              </w:rPr>
              <w:t>Avaliação:</w:t>
            </w:r>
            <w:r>
              <w:rPr>
                <w:rFonts w:ascii="Arial" w:hAnsi="Arial"/>
                <w:spacing w:val="0"/>
                <w:sz w:val="20"/>
                <w:szCs w:val="18"/>
              </w:rPr>
              <w:t xml:space="preserve">da exelência à </w:t>
            </w:r>
            <w:bookmarkStart w:id="0" w:name="_GoBack"/>
            <w:bookmarkEnd w:id="0"/>
            <w:r>
              <w:rPr>
                <w:rFonts w:ascii="Arial" w:hAnsi="Arial"/>
                <w:spacing w:val="0"/>
                <w:sz w:val="20"/>
                <w:szCs w:val="18"/>
              </w:rPr>
              <w:t>regulação das aprendizagens – entre duas lógicas. Porto Alegre: Artmed, 1999.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0"/>
              <w:jc w:val="both"/>
              <w:rPr>
                <w:rFonts w:ascii="Arial" w:hAnsi="Arial"/>
                <w:spacing w:val="0"/>
                <w:sz w:val="20"/>
                <w:szCs w:val="18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/>
                <w:spacing w:val="0"/>
                <w:sz w:val="20"/>
                <w:szCs w:val="18"/>
              </w:rPr>
              <w:t xml:space="preserve">VASCONCELLOS, Celso dos S. </w:t>
            </w:r>
            <w:r>
              <w:rPr>
                <w:rFonts w:ascii="Arial" w:hAnsi="Arial"/>
                <w:b/>
                <w:spacing w:val="0"/>
                <w:sz w:val="20"/>
                <w:szCs w:val="18"/>
              </w:rPr>
              <w:t>Superação da lógica classificatória e excludente da avaliação</w:t>
            </w:r>
            <w:r>
              <w:rPr>
                <w:rFonts w:ascii="Arial" w:hAnsi="Arial"/>
                <w:i/>
                <w:spacing w:val="0"/>
                <w:sz w:val="20"/>
                <w:szCs w:val="18"/>
              </w:rPr>
              <w:t>:</w:t>
            </w:r>
            <w:r>
              <w:rPr>
                <w:rFonts w:ascii="Arial" w:hAnsi="Arial"/>
                <w:spacing w:val="0"/>
                <w:sz w:val="20"/>
                <w:szCs w:val="18"/>
              </w:rPr>
              <w:t xml:space="preserve"> do “é proibido reprovar” ai é preciso garantir a aprendizagem. São Paulo: Libertad, 1998.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Profª Marilia de Carvalho C. Oliveira (Carimbo)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(Carimbo)</w:t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e7c"/>
    <w:pPr>
      <w:widowControl/>
      <w:bidi w:val="0"/>
      <w:spacing w:before="0" w:after="200"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Header"/>
    <w:qFormat/>
    <w:rsid w:val="00377f1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377f17"/>
    <w:rPr>
      <w:rFonts w:ascii="Arial" w:hAnsi="Arial" w:eastAsia="Times New Roman" w:cs="Times New Roman"/>
      <w:sz w:val="28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7f1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1d6fe1"/>
    <w:pPr>
      <w:spacing w:lineRule="auto" w:line="288" w:before="0" w:after="140"/>
    </w:pPr>
    <w:rPr/>
  </w:style>
  <w:style w:type="paragraph" w:styleId="Lista">
    <w:name w:val="Lista"/>
    <w:basedOn w:val="Corpodetexto"/>
    <w:rsid w:val="001d6fe1"/>
    <w:pPr/>
    <w:rPr>
      <w:rFonts w:cs="Mangal"/>
    </w:rPr>
  </w:style>
  <w:style w:type="paragraph" w:styleId="Legenda" w:customStyle="1">
    <w:name w:val="Legenda"/>
    <w:basedOn w:val="Normal"/>
    <w:qFormat/>
    <w:rsid w:val="001d6f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d6fe1"/>
    <w:pPr>
      <w:suppressLineNumbers/>
    </w:pPr>
    <w:rPr>
      <w:rFonts w:cs="Mangal"/>
    </w:rPr>
  </w:style>
  <w:style w:type="paragraph" w:styleId="Ttulododocumento">
    <w:name w:val="Título do documento"/>
    <w:basedOn w:val="Normal"/>
    <w:link w:val="TtuloChar"/>
    <w:qFormat/>
    <w:rsid w:val="00377f17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 w:val="28"/>
      <w:szCs w:val="20"/>
      <w:lang w:eastAsia="ar-SA"/>
    </w:rPr>
  </w:style>
  <w:style w:type="paragraph" w:styleId="Cabealho" w:customStyle="1">
    <w:name w:val="Cabeçalho"/>
    <w:basedOn w:val="Normal"/>
    <w:link w:val="CabealhoChar"/>
    <w:unhideWhenUsed/>
    <w:rsid w:val="00377f17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7f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2016-06-08T00:56:00Z</dcterms:created>
  <dc:creator>User</dc:creator>
  <dc:language>pt-BR</dc:language>
  <cp:lastModifiedBy>User</cp:lastModifiedBy>
  <cp:lastPrinted>2015-06-26T19:08:00Z</cp:lastPrinted>
  <dcterms:modified xsi:type="dcterms:W3CDTF">2017-08-09T16:37:00Z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