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7" w:type="dxa"/>
        <w:jc w:val="left"/>
        <w:tblInd w:w="-2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7" w:type="dxa"/>
          <w:bottom w:w="0" w:type="dxa"/>
          <w:right w:w="108" w:type="dxa"/>
        </w:tblCellMar>
      </w:tblPr>
      <w:tblGrid>
        <w:gridCol w:w="2136"/>
        <w:gridCol w:w="1744"/>
        <w:gridCol w:w="835"/>
        <w:gridCol w:w="847"/>
        <w:gridCol w:w="2"/>
        <w:gridCol w:w="1818"/>
        <w:gridCol w:w="2"/>
        <w:gridCol w:w="1903"/>
      </w:tblGrid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</w:rPr>
              <w:t>Turno</w:t>
            </w:r>
            <w:r>
              <w:rPr>
                <w:rStyle w:val="Fontepargpadro"/>
                <w:rFonts w:cs="Arial" w:ascii="Arial" w:hAnsi="Arial"/>
              </w:rPr>
              <w:t>: Noturno</w:t>
            </w:r>
          </w:p>
        </w:tc>
        <w:tc>
          <w:tcPr>
            <w:tcW w:w="4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</w:rPr>
              <w:t xml:space="preserve">Currículo: </w:t>
            </w:r>
            <w:r>
              <w:rPr>
                <w:rStyle w:val="Fontepargpadro"/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2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Nome da disciplina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ELIN:</w:t>
            </w: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b/>
                <w:color w:val="000000"/>
              </w:rPr>
              <w:t>DISCURSO E COGNIÇÃO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2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Antônio Luiz Assunção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2º/2017</w:t>
            </w:r>
          </w:p>
        </w:tc>
        <w:tc>
          <w:tcPr>
            <w:tcW w:w="524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9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8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Cognição e concepções de cognição. Linguística e cognição. Linguagem e cognição. Linguagem e cognição: a construção dos objetos de discurso. Cognição social e base social da cognição. Análise de Discurso e Cognição: a proposta de Van Dijk. Cognição social e os processos metafóricos.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 aluno deverá ser capaz de: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Discutir e conceituar cognição.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Examinar as relações entre linguagem e cognição.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Identificar os mecanismos de construção dos objetos discursivos.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Conceituar cognição social e cognição incorporada.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Estabelecer as relações entre cognição, Linguagem e a comunidade discursiva.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Estabelecer as relações entre Análise de Discurso e Cognição: proposta de van Dijk.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Gothic" w:cs="MS Gothic" w:ascii="MS Gothic" w:hAnsi="MS Gothic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  <w:t>Identificar os processos metafóricos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1. O domínio dos Estudos discursivos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a) Estudos Linguísticos e Análise do Discurso: limites dos estudos linguísticos e os estudos discursivos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b) Análise Crítica do Discurso: a perspectiva de Van Dijk</w:t>
              <w:tab/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2. Linguagem e Cognição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a) Conceito de Cognição: a perspectiva clássica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0"/>
                <w:szCs w:val="20"/>
              </w:rPr>
              <w:t xml:space="preserve">   </w:t>
            </w:r>
            <w:r>
              <w:rPr>
                <w:rStyle w:val="Fontepargpadro"/>
                <w:rFonts w:cs="Arial" w:ascii="Arial" w:hAnsi="Arial"/>
                <w:color w:val="000000"/>
                <w:sz w:val="20"/>
                <w:szCs w:val="20"/>
              </w:rPr>
              <w:t>b) Cognição Social e Cognição Corporificada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ab/>
              <w:tab/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3. Discurso e Processos Cognitivos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a) A proposta de Van Dijk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b) Lakoff e as Metáforas do Cotidiano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METODOLOGIA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Aulas expositivas, Leituras textos teóricos, Seminários e debates</w:t>
            </w:r>
          </w:p>
          <w:p>
            <w:pPr>
              <w:pStyle w:val="LONormal"/>
              <w:shd w:val="clear" w:fill="FFFFFF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AVALIAÇÃO SERÁ PONTUADA EM 100 PONTOS.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Haverá dois trabalhos e escritos- valor de 30 pontos cada um.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Avaliação final - valor 40 pontos cada uma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DIJK, Teun Adrianus.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Cognição discurso e interação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>. 6.ed. São Paulo: Contexto, 2004. 207 p. (Coleção Caminhos da linguística).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MUSSALIN, Fernanda; Bentes, Anna Christina 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Introdução à linguística: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 domínios e fronteiras. 4º ed. São Paulo: Cortez, 2004. v.3.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LAKOFF, George. A metáfora as teorias populares e as possibilidades do diálogo.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Cadernos de Estudos Linguísticos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>, Campinas: s.n., n.9, p. 49-68, 1985.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DIJK, Teun A. Van. Discurso e manipulação.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Ciências &amp; Letras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, Porto Alegre: Fapa, n.45, p. 13-42, Jan./Jun.2009. CDB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KOCH, Ingedore G. Villaça.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 xml:space="preserve"> Introdução à linguística textual: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trajetória e grandes temas. São Paulo: Martins Fontes, 2006. 190 p. (Coleção texto e linguagem).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PAIVA, Vera Lucia Menezes de Oliveira e (org.).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Metáforas do cotidiano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. Belo Horizonte: UFMG, 1998. 193 p.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KOCH, Ingedore G. Villaça. Linguagem e cognição: a construção e reconstrução de objetos-de-discurso.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Veredas Revista de Estudos Linguísticos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, Juiz de Fora: s.n., v.6, n.1, p. 29-42, jan./jun. 2002.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VEREZA, Solange Coelho. Metáfora e argumentação: uma abordagem cognitivo-discursiva.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Linguagem em discurso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, Tubarão - SC: Ed. Unisul, v.7, n.3, p. 487-506, set./dez. 2007. 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jc w:val="center"/>
        <w:rPr/>
      </w:pPr>
      <w:r>
        <w:rPr>
          <w:rStyle w:val="Fontepargpadro"/>
          <w:rFonts w:cs="Arial" w:ascii="Arial" w:hAnsi="Arial"/>
        </w:rPr>
        <w:t>Aprovado pelo Colegiado em ____ /_____/_____</w:t>
      </w:r>
    </w:p>
    <w:p>
      <w:pPr>
        <w:pStyle w:val="Normal"/>
        <w:shd w:val="clear" w:fill="FFFFFF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>_____________________________________       __________________________________</w:t>
      </w:r>
    </w:p>
    <w:p>
      <w:pPr>
        <w:pStyle w:val="Normal"/>
        <w:rPr/>
      </w:pPr>
      <w:r>
        <w:rPr>
          <w:rStyle w:val="Fontepargpadro"/>
          <w:rFonts w:cs="Arial" w:ascii="Arial" w:hAnsi="Arial"/>
          <w:sz w:val="22"/>
          <w:szCs w:val="22"/>
        </w:rPr>
        <w:t xml:space="preserve">            </w:t>
      </w:r>
      <w:r>
        <w:rPr>
          <w:rStyle w:val="Fontepargpadro"/>
          <w:rFonts w:cs="Arial" w:ascii="Arial" w:hAnsi="Arial"/>
          <w:sz w:val="22"/>
          <w:szCs w:val="22"/>
        </w:rPr>
        <w:t>Prof.  Antônio Luiz Assunção                                      Coordenadora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hd w:val="clear" w:fill="FFFFFF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 w:ascii="Arial" w:hAnsi="Arial"/>
        <w:b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73"/>
      <w:gridCol w:w="6913"/>
    </w:tblGrid>
    <w:tr>
      <w:trPr/>
      <w:tc>
        <w:tcPr>
          <w:tcW w:w="2373" w:type="dxa"/>
          <w:tcBorders/>
          <w:shd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3" w:type="dxa"/>
          <w:tcBorders/>
          <w:shd w:fill="auto" w:val="clear"/>
          <w:vAlign w:val="center"/>
        </w:tcPr>
        <w:p>
          <w:pPr>
            <w:pStyle w:val="Ttulo"/>
            <w:shd w:val="clear" w:fill="FFFFFF"/>
            <w:snapToGrid w:val="false"/>
            <w:jc w:val="right"/>
            <w:rPr/>
          </w:pPr>
          <w:r>
            <w:rPr>
              <w:rStyle w:val="Fontepargpadro"/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shd w:val="clear" w:fill="FFFFFF"/>
            <w:jc w:val="right"/>
            <w:rPr/>
          </w:pPr>
          <w:r>
            <w:rPr>
              <w:rStyle w:val="Fontepargpadro"/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Style w:val="Fontepargpadro"/>
              <w:rFonts w:ascii="Arial" w:hAnsi="Arial"/>
              <w:caps/>
              <w:position w:val="14"/>
              <w:sz w:val="14"/>
              <w:szCs w:val="14"/>
              <w:u w:val="single"/>
            </w:rPr>
            <w:t>o</w:t>
          </w:r>
          <w:r>
            <w:rPr>
              <w:rStyle w:val="Fontepargpadro"/>
              <w:rFonts w:ascii="Arial" w:hAnsi="Arial"/>
              <w:caps/>
              <w:position w:val="14"/>
              <w:sz w:val="14"/>
              <w:szCs w:val="14"/>
            </w:rPr>
            <w:t xml:space="preserve"> </w:t>
          </w:r>
          <w:r>
            <w:rPr>
              <w:rStyle w:val="Fontepargpadro"/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shd w:val="clear" w:fill="FFFFFF"/>
            <w:jc w:val="right"/>
            <w:rPr/>
          </w:pPr>
          <w:r>
            <w:rPr>
              <w:rStyle w:val="Fontepargpadro"/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shd w:val="clear" w:fill="FFFFFF"/>
            <w:jc w:val="right"/>
            <w:rPr/>
          </w:pPr>
          <w:r>
            <w:rPr>
              <w:rStyle w:val="Fontepargpadro"/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  <w:p>
    <w:pPr>
      <w:pStyle w:val="Normal"/>
      <w:shd w:val="clear" w:fill="FFFFFF"/>
      <w:jc w:val="center"/>
      <w:rPr/>
    </w:pPr>
    <w:r>
      <w:rPr>
        <w:rStyle w:val="Fontepargpadro"/>
        <w:rFonts w:cs="Arial" w:ascii="Arial" w:hAnsi="Arial"/>
        <w:b/>
        <w:sz w:val="28"/>
        <w:szCs w:val="28"/>
      </w:rPr>
      <w:t>PLANO DE ENSINO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ListLabel1">
    <w:name w:val="ListLabel 1"/>
    <w:qFormat/>
    <w:rPr>
      <w:sz w:val="24"/>
    </w:rPr>
  </w:style>
  <w:style w:type="character" w:styleId="WWCharLFO2LVL1">
    <w:name w:val="WW_CharLFO2LVL1"/>
    <w:qFormat/>
    <w:rPr>
      <w:sz w:val="24"/>
    </w:rPr>
  </w:style>
  <w:style w:type="paragraph" w:styleId="Ttulo">
    <w:name w:val="Título"/>
    <w:basedOn w:val="Normal"/>
    <w:next w:val="Corpodetexto"/>
    <w:qFormat/>
    <w:pPr>
      <w:shd w:val="clear" w:fill="FFFFFF"/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Corpodetexto">
    <w:name w:val="Corpo de texto"/>
    <w:basedOn w:val="Normal"/>
    <w:pPr>
      <w:shd w:val="clear" w:fill="FFFFFF"/>
      <w:suppressAutoHyphens w:val="true"/>
      <w:spacing w:lineRule="auto" w:line="288" w:before="0" w:after="140"/>
    </w:pPr>
    <w:rPr/>
  </w:style>
  <w:style w:type="paragraph" w:styleId="Lista">
    <w:name w:val="Lista"/>
    <w:basedOn w:val="Corpodetexto"/>
    <w:pPr>
      <w:shd w:val="clear" w:fill="FFFFFF"/>
      <w:suppressAutoHyphens w:val="true"/>
    </w:pPr>
    <w:rPr>
      <w:rFonts w:cs="FreeSans"/>
    </w:rPr>
  </w:style>
  <w:style w:type="paragraph" w:styleId="Legenda">
    <w:name w:val="Legenda"/>
    <w:basedOn w:val="Normal"/>
    <w:pPr>
      <w:suppressLineNumbers/>
      <w:shd w:val="clear" w:fill="FFFFFF"/>
      <w:suppressAutoHyphens w:val="true"/>
      <w:spacing w:before="120" w:after="120"/>
    </w:pPr>
    <w:rPr>
      <w:rFonts w:cs="FreeSans"/>
      <w:i/>
      <w:iCs/>
    </w:rPr>
  </w:style>
  <w:style w:type="paragraph" w:styleId="Ndice">
    <w:name w:val="Índice"/>
    <w:basedOn w:val="Normal"/>
    <w:qFormat/>
    <w:pPr>
      <w:suppressLineNumbers/>
      <w:shd w:val="clear" w:fill="FFFFFF"/>
      <w:suppressAutoHyphens w:val="true"/>
    </w:pPr>
    <w:rPr>
      <w:rFonts w:cs="FreeSans"/>
    </w:rPr>
  </w:style>
  <w:style w:type="paragraph" w:styleId="LONormal">
    <w:name w:val="LO-Normal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0"/>
      <w:u w:val="none"/>
      <w:vertAlign w:val="baseline"/>
      <w:em w:val="none"/>
      <w:lang w:val="pt-BR" w:eastAsia="pt-BR" w:bidi="ar-SA"/>
    </w:rPr>
  </w:style>
  <w:style w:type="paragraph" w:styleId="Cabealho">
    <w:name w:val="Cabeçalho"/>
    <w:basedOn w:val="Normal"/>
    <w:pPr>
      <w:shd w:val="clear" w:fill="FFFFFF"/>
      <w:tabs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Rodapé"/>
    <w:basedOn w:val="Normal"/>
    <w:pPr>
      <w:shd w:val="clear" w:fill="FFFFFF"/>
      <w:tabs>
        <w:tab w:val="center" w:pos="4252" w:leader="none"/>
        <w:tab w:val="right" w:pos="8504" w:leader="none"/>
      </w:tabs>
      <w:suppressAutoHyphens w:val="true"/>
    </w:pPr>
    <w:rPr/>
  </w:style>
  <w:style w:type="paragraph" w:styleId="Subttulo">
    <w:name w:val="Subtítulo"/>
    <w:basedOn w:val="Normal"/>
    <w:pPr>
      <w:shd w:val="clear" w:fill="FFFFFF"/>
      <w:suppressAutoHyphens w:val="true"/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hd w:val="clear" w:fill="FFFFFF"/>
      <w:suppressAutoHyphens w:val="true"/>
      <w:spacing w:before="280" w:after="280"/>
    </w:pPr>
    <w:rPr>
      <w:rFonts w:ascii="Verdana" w:hAnsi="Verdana"/>
      <w:sz w:val="15"/>
      <w:szCs w:val="15"/>
    </w:rPr>
  </w:style>
  <w:style w:type="paragraph" w:styleId="Textodebalo">
    <w:name w:val="Texto de balão"/>
    <w:basedOn w:val="Normal"/>
    <w:qFormat/>
    <w:pPr>
      <w:shd w:val="clear" w:fill="FFFFFF"/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hd w:val="clear" w:fill="FFFFFF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Application>LibreOffice/5.0.3.2$Linux_x86 LibreOffice_project/00m0$Build-2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2017-06-25T04:37:00Z</dcterms:created>
  <dc:creator>Cliente</dc:creator>
  <dc:language>pt-BR</dc:language>
  <cp:lastModifiedBy>COLET-062759 </cp:lastModifiedBy>
  <cp:lastPrinted>2017-06-25T04:46:00Z</cp:lastPrinted>
  <dcterms:modified xsi:type="dcterms:W3CDTF">2017-08-24T16:47:16Z</dcterms:modified>
  <cp:revision>3</cp:revision>
  <dc:title>CURSO: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