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95" w:rsidRDefault="00425395" w:rsidP="00425395">
      <w:pPr>
        <w:pStyle w:val="Ttulo10"/>
        <w:spacing w:before="0" w:after="0"/>
      </w:pPr>
      <w:r>
        <w:rPr>
          <w:rFonts w:cs="Arial"/>
          <w:sz w:val="26"/>
          <w:szCs w:val="26"/>
        </w:rPr>
        <w:t xml:space="preserve">Panorama do Comércio Exterior Campo das Vertentes – </w:t>
      </w:r>
      <w:r w:rsidR="00BD3909">
        <w:rPr>
          <w:rFonts w:cs="Arial"/>
          <w:sz w:val="26"/>
          <w:szCs w:val="26"/>
        </w:rPr>
        <w:t>Outubro</w:t>
      </w:r>
      <w:r>
        <w:rPr>
          <w:rFonts w:cs="Arial"/>
          <w:sz w:val="26"/>
          <w:szCs w:val="26"/>
        </w:rPr>
        <w:t xml:space="preserve"> 2012</w:t>
      </w:r>
    </w:p>
    <w:p w:rsidR="00425395" w:rsidRDefault="00425395" w:rsidP="00425395">
      <w:pPr>
        <w:pStyle w:val="Corpodetexto21"/>
        <w:spacing w:after="0" w:line="100" w:lineRule="atLeast"/>
        <w:jc w:val="center"/>
      </w:pPr>
      <w:r>
        <w:rPr>
          <w:rFonts w:ascii="Arial" w:hAnsi="Arial" w:cs="Arial"/>
        </w:rPr>
        <w:t>Daniela Almeida Raposo Torres</w:t>
      </w:r>
    </w:p>
    <w:p w:rsidR="00425395" w:rsidRDefault="00425395" w:rsidP="00425395">
      <w:pPr>
        <w:pStyle w:val="Corpodetexto21"/>
        <w:spacing w:after="0" w:line="100" w:lineRule="atLeast"/>
        <w:jc w:val="center"/>
      </w:pPr>
      <w:r>
        <w:rPr>
          <w:rFonts w:ascii="Arial" w:hAnsi="Arial" w:cs="Arial"/>
        </w:rPr>
        <w:t>Economista</w:t>
      </w:r>
    </w:p>
    <w:p w:rsidR="00425395" w:rsidRDefault="00425395" w:rsidP="00425395">
      <w:pPr>
        <w:pStyle w:val="Corpodetexto31"/>
        <w:jc w:val="both"/>
      </w:pPr>
    </w:p>
    <w:p w:rsidR="00425395" w:rsidRDefault="00425395" w:rsidP="00425395">
      <w:pPr>
        <w:pStyle w:val="Corpodetexto31"/>
        <w:jc w:val="both"/>
      </w:pPr>
      <w:r>
        <w:rPr>
          <w:rFonts w:ascii="Arial" w:hAnsi="Arial" w:cs="Arial"/>
          <w:sz w:val="20"/>
          <w:szCs w:val="20"/>
        </w:rPr>
        <w:t>O comércio exterior da mesorregião Mineira Campo das Vertentes</w:t>
      </w:r>
      <w:r>
        <w:rPr>
          <w:rStyle w:val="ncoradenotaderodap"/>
        </w:rPr>
        <w:footnoteReference w:id="1"/>
      </w:r>
      <w:r>
        <w:rPr>
          <w:rFonts w:ascii="Arial" w:hAnsi="Arial" w:cs="Arial"/>
          <w:sz w:val="20"/>
          <w:szCs w:val="20"/>
        </w:rPr>
        <w:t xml:space="preserve"> registrou, em </w:t>
      </w:r>
      <w:r w:rsidR="00BD3909">
        <w:rPr>
          <w:rFonts w:ascii="Arial" w:hAnsi="Arial" w:cs="Arial"/>
          <w:sz w:val="20"/>
          <w:szCs w:val="20"/>
        </w:rPr>
        <w:t>Outubro</w:t>
      </w:r>
      <w:r>
        <w:rPr>
          <w:rFonts w:ascii="Arial" w:hAnsi="Arial" w:cs="Arial"/>
          <w:sz w:val="20"/>
          <w:szCs w:val="20"/>
        </w:rPr>
        <w:t xml:space="preserve"> de 2012, em relação ao mês anterior, </w:t>
      </w:r>
      <w:r w:rsidR="000577E1">
        <w:rPr>
          <w:rFonts w:ascii="Arial" w:hAnsi="Arial" w:cs="Arial"/>
          <w:sz w:val="20"/>
          <w:szCs w:val="20"/>
        </w:rPr>
        <w:t>elevação</w:t>
      </w:r>
      <w:r>
        <w:rPr>
          <w:rFonts w:ascii="Arial" w:hAnsi="Arial" w:cs="Arial"/>
          <w:sz w:val="20"/>
          <w:szCs w:val="20"/>
        </w:rPr>
        <w:t xml:space="preserve"> nas exportações e acréscimo nas importações e saldo positivo na balança comercial. Neste mês, as exportações foram 3</w:t>
      </w:r>
      <w:r w:rsidR="009125B4">
        <w:rPr>
          <w:rFonts w:ascii="Arial" w:hAnsi="Arial" w:cs="Arial"/>
          <w:sz w:val="20"/>
          <w:szCs w:val="20"/>
        </w:rPr>
        <w:t>4</w:t>
      </w:r>
      <w:r>
        <w:rPr>
          <w:rFonts w:ascii="Arial" w:hAnsi="Arial" w:cs="Arial"/>
          <w:sz w:val="20"/>
          <w:szCs w:val="20"/>
        </w:rPr>
        <w:t xml:space="preserve">% </w:t>
      </w:r>
      <w:r w:rsidR="009125B4">
        <w:rPr>
          <w:rFonts w:ascii="Arial" w:hAnsi="Arial" w:cs="Arial"/>
          <w:sz w:val="20"/>
          <w:szCs w:val="20"/>
        </w:rPr>
        <w:t>maiores</w:t>
      </w:r>
      <w:r>
        <w:rPr>
          <w:rFonts w:ascii="Arial" w:hAnsi="Arial" w:cs="Arial"/>
          <w:sz w:val="20"/>
          <w:szCs w:val="20"/>
        </w:rPr>
        <w:t xml:space="preserve"> do que o valor registrado no mês de junho de 2012, passando de US$ 20,</w:t>
      </w:r>
      <w:r w:rsidR="009125B4">
        <w:rPr>
          <w:rFonts w:ascii="Arial" w:hAnsi="Arial" w:cs="Arial"/>
          <w:sz w:val="20"/>
          <w:szCs w:val="20"/>
        </w:rPr>
        <w:t>27</w:t>
      </w:r>
      <w:r>
        <w:rPr>
          <w:rFonts w:ascii="Arial" w:hAnsi="Arial" w:cs="Arial"/>
          <w:sz w:val="20"/>
          <w:szCs w:val="20"/>
        </w:rPr>
        <w:t xml:space="preserve"> milhões para US$ 27</w:t>
      </w:r>
      <w:r w:rsidR="009125B4">
        <w:rPr>
          <w:rFonts w:ascii="Arial" w:hAnsi="Arial" w:cs="Arial"/>
          <w:sz w:val="20"/>
          <w:szCs w:val="20"/>
        </w:rPr>
        <w:t>,18</w:t>
      </w:r>
      <w:r>
        <w:rPr>
          <w:rFonts w:ascii="Arial" w:hAnsi="Arial" w:cs="Arial"/>
          <w:sz w:val="20"/>
          <w:szCs w:val="20"/>
        </w:rPr>
        <w:t>, milhões. As importações registraram elevação de 1</w:t>
      </w:r>
      <w:r w:rsidR="009125B4">
        <w:rPr>
          <w:rFonts w:ascii="Arial" w:hAnsi="Arial" w:cs="Arial"/>
          <w:sz w:val="20"/>
          <w:szCs w:val="20"/>
        </w:rPr>
        <w:t>05</w:t>
      </w:r>
      <w:r>
        <w:rPr>
          <w:rFonts w:ascii="Arial" w:hAnsi="Arial" w:cs="Arial"/>
          <w:sz w:val="20"/>
          <w:szCs w:val="20"/>
        </w:rPr>
        <w:t>% em relação ao mês anterior e o saldo a balança comercial registrou superávit de US$ 1</w:t>
      </w:r>
      <w:r w:rsidR="009125B4">
        <w:rPr>
          <w:rFonts w:ascii="Arial" w:hAnsi="Arial" w:cs="Arial"/>
          <w:sz w:val="20"/>
          <w:szCs w:val="20"/>
        </w:rPr>
        <w:t>7</w:t>
      </w:r>
      <w:r>
        <w:rPr>
          <w:rFonts w:ascii="Arial" w:hAnsi="Arial" w:cs="Arial"/>
          <w:sz w:val="20"/>
          <w:szCs w:val="20"/>
        </w:rPr>
        <w:t xml:space="preserve"> milhões. (Vide TAB. 1, GRAF. 1, GRAF </w:t>
      </w:r>
      <w:proofErr w:type="gramStart"/>
      <w:r>
        <w:rPr>
          <w:rFonts w:ascii="Arial" w:hAnsi="Arial" w:cs="Arial"/>
          <w:sz w:val="20"/>
          <w:szCs w:val="20"/>
        </w:rPr>
        <w:t>2</w:t>
      </w:r>
      <w:proofErr w:type="gramEnd"/>
      <w:r>
        <w:rPr>
          <w:rFonts w:ascii="Arial" w:hAnsi="Arial" w:cs="Arial"/>
          <w:sz w:val="20"/>
          <w:szCs w:val="20"/>
        </w:rPr>
        <w:t xml:space="preserve"> e GRAF 4). </w:t>
      </w:r>
    </w:p>
    <w:p w:rsidR="00425395" w:rsidRDefault="00425395" w:rsidP="00425395">
      <w:pPr>
        <w:pStyle w:val="Corpodetexto"/>
        <w:tabs>
          <w:tab w:val="left" w:pos="1260"/>
          <w:tab w:val="left" w:pos="1620"/>
        </w:tabs>
        <w:jc w:val="both"/>
      </w:pPr>
      <w:r>
        <w:rPr>
          <w:rFonts w:ascii="Arial" w:hAnsi="Arial" w:cs="Arial"/>
          <w:sz w:val="20"/>
          <w:szCs w:val="20"/>
        </w:rPr>
        <w:t xml:space="preserve">O Campo das Vertentes registra em </w:t>
      </w:r>
      <w:r w:rsidR="00BD3909">
        <w:rPr>
          <w:rFonts w:ascii="Arial" w:hAnsi="Arial" w:cs="Arial"/>
          <w:sz w:val="20"/>
          <w:szCs w:val="20"/>
        </w:rPr>
        <w:t>Outubro</w:t>
      </w:r>
      <w:r>
        <w:rPr>
          <w:rFonts w:ascii="Arial" w:hAnsi="Arial" w:cs="Arial"/>
          <w:sz w:val="20"/>
          <w:szCs w:val="20"/>
        </w:rPr>
        <w:t xml:space="preserve"> de </w:t>
      </w:r>
      <w:proofErr w:type="gramStart"/>
      <w:r>
        <w:rPr>
          <w:rFonts w:ascii="Arial" w:hAnsi="Arial" w:cs="Arial"/>
          <w:sz w:val="20"/>
          <w:szCs w:val="20"/>
        </w:rPr>
        <w:t>2012 queda</w:t>
      </w:r>
      <w:proofErr w:type="gramEnd"/>
      <w:r>
        <w:rPr>
          <w:rFonts w:ascii="Arial" w:hAnsi="Arial" w:cs="Arial"/>
          <w:sz w:val="20"/>
          <w:szCs w:val="20"/>
        </w:rPr>
        <w:t xml:space="preserve"> nas exportações de </w:t>
      </w:r>
      <w:r w:rsidR="009125B4">
        <w:rPr>
          <w:rFonts w:ascii="Arial" w:hAnsi="Arial" w:cs="Arial"/>
          <w:sz w:val="20"/>
          <w:szCs w:val="20"/>
        </w:rPr>
        <w:t>11</w:t>
      </w:r>
      <w:r>
        <w:rPr>
          <w:rFonts w:ascii="Arial" w:hAnsi="Arial" w:cs="Arial"/>
          <w:sz w:val="20"/>
          <w:szCs w:val="20"/>
        </w:rPr>
        <w:t xml:space="preserve">% em relação ao mesmo mês do ano anterior. As importações registraram </w:t>
      </w:r>
      <w:r w:rsidR="009125B4">
        <w:rPr>
          <w:rFonts w:ascii="Arial" w:hAnsi="Arial" w:cs="Arial"/>
          <w:sz w:val="20"/>
          <w:szCs w:val="20"/>
        </w:rPr>
        <w:t>a</w:t>
      </w:r>
      <w:r>
        <w:rPr>
          <w:rFonts w:ascii="Arial" w:hAnsi="Arial" w:cs="Arial"/>
          <w:sz w:val="20"/>
          <w:szCs w:val="20"/>
        </w:rPr>
        <w:t xml:space="preserve">créscimo de </w:t>
      </w:r>
      <w:r w:rsidR="009125B4">
        <w:rPr>
          <w:rFonts w:ascii="Arial" w:hAnsi="Arial" w:cs="Arial"/>
          <w:sz w:val="20"/>
          <w:szCs w:val="20"/>
        </w:rPr>
        <w:t>230</w:t>
      </w:r>
      <w:r>
        <w:rPr>
          <w:rFonts w:ascii="Arial" w:hAnsi="Arial" w:cs="Arial"/>
          <w:sz w:val="20"/>
          <w:szCs w:val="20"/>
        </w:rPr>
        <w:t xml:space="preserve">% em relação a </w:t>
      </w:r>
      <w:r w:rsidR="00BD3909">
        <w:rPr>
          <w:rFonts w:ascii="Arial" w:hAnsi="Arial" w:cs="Arial"/>
          <w:sz w:val="20"/>
          <w:szCs w:val="20"/>
        </w:rPr>
        <w:t>Outubro</w:t>
      </w:r>
      <w:r>
        <w:rPr>
          <w:rFonts w:ascii="Arial" w:hAnsi="Arial" w:cs="Arial"/>
          <w:sz w:val="20"/>
          <w:szCs w:val="20"/>
        </w:rPr>
        <w:t xml:space="preserve"> de 2011, somando US$ </w:t>
      </w:r>
      <w:r w:rsidR="009125B4">
        <w:rPr>
          <w:rFonts w:ascii="Arial" w:hAnsi="Arial" w:cs="Arial"/>
          <w:sz w:val="20"/>
          <w:szCs w:val="20"/>
        </w:rPr>
        <w:t>10,54</w:t>
      </w:r>
      <w:r>
        <w:rPr>
          <w:rFonts w:ascii="Arial" w:hAnsi="Arial" w:cs="Arial"/>
          <w:sz w:val="20"/>
          <w:szCs w:val="20"/>
        </w:rPr>
        <w:t xml:space="preserve"> milhões no mês. Estas variações ocasionaram também decréscimo da corrente de comércio de 1</w:t>
      </w:r>
      <w:r w:rsidR="009125B4">
        <w:rPr>
          <w:rFonts w:ascii="Arial" w:hAnsi="Arial" w:cs="Arial"/>
          <w:sz w:val="20"/>
          <w:szCs w:val="20"/>
        </w:rPr>
        <w:t>1</w:t>
      </w:r>
      <w:r>
        <w:rPr>
          <w:rFonts w:ascii="Arial" w:hAnsi="Arial" w:cs="Arial"/>
          <w:sz w:val="20"/>
          <w:szCs w:val="20"/>
        </w:rPr>
        <w:t xml:space="preserve">% em relação ao acumulado de </w:t>
      </w:r>
      <w:r w:rsidR="00BD3909">
        <w:rPr>
          <w:rFonts w:ascii="Arial" w:hAnsi="Arial" w:cs="Arial"/>
          <w:sz w:val="20"/>
          <w:szCs w:val="20"/>
        </w:rPr>
        <w:t>Outubro</w:t>
      </w:r>
      <w:r>
        <w:rPr>
          <w:rFonts w:ascii="Arial" w:hAnsi="Arial" w:cs="Arial"/>
          <w:sz w:val="20"/>
          <w:szCs w:val="20"/>
        </w:rPr>
        <w:t xml:space="preserve"> de 2011. (Vide TAB. 1 e GRAF. 1).</w:t>
      </w:r>
    </w:p>
    <w:p w:rsidR="00425395" w:rsidRDefault="00425395" w:rsidP="00425395">
      <w:pPr>
        <w:pStyle w:val="Padro"/>
        <w:spacing w:after="120"/>
        <w:jc w:val="both"/>
      </w:pPr>
      <w:r>
        <w:rPr>
          <w:rFonts w:ascii="Arial" w:hAnsi="Arial" w:cs="Arial"/>
          <w:sz w:val="20"/>
          <w:szCs w:val="20"/>
        </w:rPr>
        <w:t xml:space="preserve">Consoante à tendência histórica de registros de superávit da balança comercial mineira, a região Mineira Campo das Vertentes registrou, em </w:t>
      </w:r>
      <w:r w:rsidR="00BD3909">
        <w:rPr>
          <w:rFonts w:ascii="Arial" w:hAnsi="Arial" w:cs="Arial"/>
          <w:sz w:val="20"/>
          <w:szCs w:val="20"/>
        </w:rPr>
        <w:t>Outubro</w:t>
      </w:r>
      <w:r>
        <w:rPr>
          <w:rFonts w:ascii="Arial" w:hAnsi="Arial" w:cs="Arial"/>
          <w:sz w:val="20"/>
          <w:szCs w:val="20"/>
        </w:rPr>
        <w:t xml:space="preserve"> de 2012, saldo positivo de US$ 1</w:t>
      </w:r>
      <w:r w:rsidR="009125B4">
        <w:rPr>
          <w:rFonts w:ascii="Arial" w:hAnsi="Arial" w:cs="Arial"/>
          <w:sz w:val="20"/>
          <w:szCs w:val="20"/>
        </w:rPr>
        <w:t>7</w:t>
      </w:r>
      <w:r>
        <w:rPr>
          <w:rFonts w:ascii="Arial" w:hAnsi="Arial" w:cs="Arial"/>
          <w:sz w:val="20"/>
          <w:szCs w:val="20"/>
        </w:rPr>
        <w:t xml:space="preserve"> milhões, contra o superávit de US$ 2</w:t>
      </w:r>
      <w:r w:rsidR="009125B4">
        <w:rPr>
          <w:rFonts w:ascii="Arial" w:hAnsi="Arial" w:cs="Arial"/>
          <w:sz w:val="20"/>
          <w:szCs w:val="20"/>
        </w:rPr>
        <w:t>7</w:t>
      </w:r>
      <w:r>
        <w:rPr>
          <w:rFonts w:ascii="Arial" w:hAnsi="Arial" w:cs="Arial"/>
          <w:sz w:val="20"/>
          <w:szCs w:val="20"/>
        </w:rPr>
        <w:t xml:space="preserve"> milhões em igual período do ano de 2011. (Vide TAB. 1).</w:t>
      </w:r>
    </w:p>
    <w:p w:rsidR="00425395" w:rsidRDefault="00425395" w:rsidP="00425395">
      <w:pPr>
        <w:pStyle w:val="Padro"/>
        <w:spacing w:after="120"/>
        <w:jc w:val="both"/>
      </w:pPr>
      <w:r w:rsidRPr="009773A1">
        <w:rPr>
          <w:rFonts w:ascii="Arial" w:hAnsi="Arial" w:cs="Arial"/>
          <w:sz w:val="20"/>
          <w:szCs w:val="20"/>
        </w:rPr>
        <w:t xml:space="preserve">No que se refere à pauta de exportação segundo produtos na região do Campo das vertentes predomina a participação de minérios metalúrgicos e produtos metalúrgicos, com </w:t>
      </w:r>
      <w:proofErr w:type="gramStart"/>
      <w:r w:rsidRPr="009773A1">
        <w:rPr>
          <w:rFonts w:ascii="Arial" w:hAnsi="Arial" w:cs="Arial"/>
          <w:sz w:val="20"/>
          <w:szCs w:val="20"/>
        </w:rPr>
        <w:t>cerca de 7</w:t>
      </w:r>
      <w:r w:rsidR="009125B4">
        <w:rPr>
          <w:rFonts w:ascii="Arial" w:hAnsi="Arial" w:cs="Arial"/>
          <w:sz w:val="20"/>
          <w:szCs w:val="20"/>
        </w:rPr>
        <w:t>6,82</w:t>
      </w:r>
      <w:proofErr w:type="gramEnd"/>
      <w:r w:rsidRPr="009773A1">
        <w:rPr>
          <w:rFonts w:ascii="Arial" w:hAnsi="Arial" w:cs="Arial"/>
          <w:sz w:val="20"/>
          <w:szCs w:val="20"/>
        </w:rPr>
        <w:t>%, seguida de veículos (15,</w:t>
      </w:r>
      <w:r w:rsidR="009125B4">
        <w:rPr>
          <w:rFonts w:ascii="Arial" w:hAnsi="Arial" w:cs="Arial"/>
          <w:sz w:val="20"/>
          <w:szCs w:val="20"/>
        </w:rPr>
        <w:t>4</w:t>
      </w:r>
      <w:r w:rsidRPr="009773A1">
        <w:rPr>
          <w:rFonts w:ascii="Arial" w:hAnsi="Arial" w:cs="Arial"/>
          <w:sz w:val="20"/>
          <w:szCs w:val="20"/>
        </w:rPr>
        <w:t>%) e alimentos (8,</w:t>
      </w:r>
      <w:r w:rsidR="009125B4">
        <w:rPr>
          <w:rFonts w:ascii="Arial" w:hAnsi="Arial" w:cs="Arial"/>
          <w:sz w:val="20"/>
          <w:szCs w:val="20"/>
        </w:rPr>
        <w:t>27</w:t>
      </w:r>
      <w:r w:rsidRPr="009773A1">
        <w:rPr>
          <w:rFonts w:ascii="Arial" w:hAnsi="Arial" w:cs="Arial"/>
          <w:sz w:val="20"/>
          <w:szCs w:val="20"/>
        </w:rPr>
        <w:t>%). Vale observar que, em relação ao mês anterior houve aumento nas exportações de minérios metalúrgicos e produtos metalúrgicos, passando de 7</w:t>
      </w:r>
      <w:r w:rsidR="009125B4">
        <w:rPr>
          <w:rFonts w:ascii="Arial" w:hAnsi="Arial" w:cs="Arial"/>
          <w:sz w:val="20"/>
          <w:szCs w:val="20"/>
        </w:rPr>
        <w:t>4,18</w:t>
      </w:r>
      <w:r w:rsidRPr="009773A1">
        <w:rPr>
          <w:rFonts w:ascii="Arial" w:hAnsi="Arial" w:cs="Arial"/>
          <w:sz w:val="20"/>
          <w:szCs w:val="20"/>
        </w:rPr>
        <w:t>%para 7</w:t>
      </w:r>
      <w:r w:rsidR="009125B4">
        <w:rPr>
          <w:rFonts w:ascii="Arial" w:hAnsi="Arial" w:cs="Arial"/>
          <w:sz w:val="20"/>
          <w:szCs w:val="20"/>
        </w:rPr>
        <w:t>6,82</w:t>
      </w:r>
      <w:r w:rsidRPr="009773A1">
        <w:rPr>
          <w:rFonts w:ascii="Arial" w:hAnsi="Arial" w:cs="Arial"/>
          <w:sz w:val="20"/>
          <w:szCs w:val="20"/>
        </w:rPr>
        <w:t xml:space="preserve">%. Ademais, em relação ao mesmo período do ano anterior houve aumento nas exportações de minérios metalúrgicos e produtos metalúrgicos, passando de </w:t>
      </w:r>
      <w:r w:rsidR="009125B4">
        <w:rPr>
          <w:rFonts w:ascii="Arial" w:hAnsi="Arial" w:cs="Arial"/>
          <w:sz w:val="20"/>
          <w:szCs w:val="20"/>
        </w:rPr>
        <w:t>73,29</w:t>
      </w:r>
      <w:r w:rsidRPr="009773A1">
        <w:rPr>
          <w:rFonts w:ascii="Arial" w:hAnsi="Arial" w:cs="Arial"/>
          <w:sz w:val="20"/>
          <w:szCs w:val="20"/>
        </w:rPr>
        <w:t xml:space="preserve">% no período de </w:t>
      </w:r>
      <w:r w:rsidR="00BD3909">
        <w:rPr>
          <w:rFonts w:ascii="Arial" w:hAnsi="Arial" w:cs="Arial"/>
          <w:sz w:val="20"/>
          <w:szCs w:val="20"/>
        </w:rPr>
        <w:t>Outubro</w:t>
      </w:r>
      <w:r w:rsidRPr="009773A1">
        <w:rPr>
          <w:rFonts w:ascii="Arial" w:hAnsi="Arial" w:cs="Arial"/>
          <w:sz w:val="20"/>
          <w:szCs w:val="20"/>
        </w:rPr>
        <w:t xml:space="preserve"> de 2011, para </w:t>
      </w:r>
      <w:r w:rsidR="009125B4">
        <w:rPr>
          <w:rFonts w:ascii="Arial" w:hAnsi="Arial" w:cs="Arial"/>
          <w:sz w:val="20"/>
          <w:szCs w:val="20"/>
        </w:rPr>
        <w:t>76,82</w:t>
      </w:r>
      <w:r w:rsidRPr="009773A1">
        <w:rPr>
          <w:rFonts w:ascii="Arial" w:hAnsi="Arial" w:cs="Arial"/>
          <w:sz w:val="20"/>
          <w:szCs w:val="20"/>
        </w:rPr>
        <w:t xml:space="preserve">% no período de </w:t>
      </w:r>
      <w:r w:rsidR="00BD3909">
        <w:rPr>
          <w:rFonts w:ascii="Arial" w:hAnsi="Arial" w:cs="Arial"/>
          <w:sz w:val="20"/>
          <w:szCs w:val="20"/>
        </w:rPr>
        <w:t>Outubro</w:t>
      </w:r>
      <w:r w:rsidRPr="009773A1">
        <w:rPr>
          <w:rFonts w:ascii="Arial" w:hAnsi="Arial" w:cs="Arial"/>
          <w:sz w:val="20"/>
          <w:szCs w:val="20"/>
        </w:rPr>
        <w:t xml:space="preserve"> de 2012. Em relação ao mesmo mês do ano anterior, houve uma queda de </w:t>
      </w:r>
      <w:r w:rsidR="009125B4">
        <w:rPr>
          <w:rFonts w:ascii="Arial" w:hAnsi="Arial" w:cs="Arial"/>
          <w:sz w:val="20"/>
          <w:szCs w:val="20"/>
        </w:rPr>
        <w:t>21</w:t>
      </w:r>
      <w:r w:rsidRPr="009773A1">
        <w:rPr>
          <w:rFonts w:ascii="Arial" w:hAnsi="Arial" w:cs="Arial"/>
          <w:sz w:val="20"/>
          <w:szCs w:val="20"/>
        </w:rPr>
        <w:t xml:space="preserve">% do valor exportado de veículos. Houve também um decréscimo nas exportações de alimentos passando de </w:t>
      </w:r>
      <w:r w:rsidR="009125B4">
        <w:rPr>
          <w:rFonts w:ascii="Arial" w:hAnsi="Arial" w:cs="Arial"/>
          <w:sz w:val="20"/>
          <w:szCs w:val="20"/>
        </w:rPr>
        <w:t>17,34%</w:t>
      </w:r>
      <w:r w:rsidRPr="009773A1">
        <w:rPr>
          <w:rFonts w:ascii="Arial" w:hAnsi="Arial" w:cs="Arial"/>
          <w:sz w:val="20"/>
          <w:szCs w:val="20"/>
        </w:rPr>
        <w:t xml:space="preserve"> no período de </w:t>
      </w:r>
      <w:r w:rsidR="00BD3909">
        <w:rPr>
          <w:rFonts w:ascii="Arial" w:hAnsi="Arial" w:cs="Arial"/>
          <w:sz w:val="20"/>
          <w:szCs w:val="20"/>
        </w:rPr>
        <w:t>Outubro</w:t>
      </w:r>
      <w:r w:rsidRPr="009773A1">
        <w:rPr>
          <w:rFonts w:ascii="Arial" w:hAnsi="Arial" w:cs="Arial"/>
          <w:sz w:val="20"/>
          <w:szCs w:val="20"/>
        </w:rPr>
        <w:t xml:space="preserve"> de 2011, para 1</w:t>
      </w:r>
      <w:r w:rsidR="009125B4">
        <w:rPr>
          <w:rFonts w:ascii="Arial" w:hAnsi="Arial" w:cs="Arial"/>
          <w:sz w:val="20"/>
          <w:szCs w:val="20"/>
        </w:rPr>
        <w:t>5,</w:t>
      </w:r>
      <w:r w:rsidRPr="009773A1">
        <w:rPr>
          <w:rFonts w:ascii="Arial" w:hAnsi="Arial" w:cs="Arial"/>
          <w:sz w:val="20"/>
          <w:szCs w:val="20"/>
        </w:rPr>
        <w:t>4</w:t>
      </w:r>
      <w:r w:rsidR="009125B4">
        <w:rPr>
          <w:rFonts w:ascii="Arial" w:hAnsi="Arial" w:cs="Arial"/>
          <w:sz w:val="20"/>
          <w:szCs w:val="20"/>
        </w:rPr>
        <w:t>0</w:t>
      </w:r>
      <w:r w:rsidRPr="009773A1">
        <w:rPr>
          <w:rFonts w:ascii="Arial" w:hAnsi="Arial" w:cs="Arial"/>
          <w:sz w:val="20"/>
          <w:szCs w:val="20"/>
        </w:rPr>
        <w:t xml:space="preserve">% no período de </w:t>
      </w:r>
      <w:r w:rsidR="00BD3909">
        <w:rPr>
          <w:rFonts w:ascii="Arial" w:hAnsi="Arial" w:cs="Arial"/>
          <w:sz w:val="20"/>
          <w:szCs w:val="20"/>
        </w:rPr>
        <w:t>Outubro</w:t>
      </w:r>
      <w:r w:rsidRPr="009773A1">
        <w:rPr>
          <w:rFonts w:ascii="Arial" w:hAnsi="Arial" w:cs="Arial"/>
          <w:sz w:val="20"/>
          <w:szCs w:val="20"/>
        </w:rPr>
        <w:t xml:space="preserve"> de 2012. (Vide GRAF. 5). Este resultado implica em ampliação na concentração na pauta de exportação desta região e uma perda de diversificação produtiva destas regiões nestes produtos.</w:t>
      </w:r>
      <w:r>
        <w:rPr>
          <w:rFonts w:ascii="Arial" w:hAnsi="Arial" w:cs="Arial"/>
          <w:sz w:val="20"/>
          <w:szCs w:val="20"/>
        </w:rPr>
        <w:t xml:space="preserve"> </w:t>
      </w:r>
    </w:p>
    <w:p w:rsidR="00425395" w:rsidRDefault="00425395" w:rsidP="00425395">
      <w:pPr>
        <w:pStyle w:val="Padro"/>
        <w:spacing w:after="120"/>
        <w:jc w:val="both"/>
      </w:pPr>
      <w:r>
        <w:rPr>
          <w:rFonts w:ascii="Arial" w:hAnsi="Arial" w:cs="Arial"/>
          <w:sz w:val="20"/>
          <w:szCs w:val="20"/>
        </w:rPr>
        <w:t xml:space="preserve">No que se refere aos principais municípios exportadores da região Campo das Vertentes, </w:t>
      </w:r>
      <w:r w:rsidR="009125B4">
        <w:rPr>
          <w:rFonts w:ascii="Arial" w:hAnsi="Arial" w:cs="Arial"/>
          <w:sz w:val="20"/>
          <w:szCs w:val="20"/>
        </w:rPr>
        <w:t xml:space="preserve">São João Del Rei </w:t>
      </w:r>
      <w:r>
        <w:rPr>
          <w:rFonts w:ascii="Arial" w:hAnsi="Arial" w:cs="Arial"/>
          <w:sz w:val="20"/>
          <w:szCs w:val="20"/>
        </w:rPr>
        <w:t xml:space="preserve">é a mais significativa delas com </w:t>
      </w:r>
      <w:proofErr w:type="gramStart"/>
      <w:r>
        <w:rPr>
          <w:rFonts w:ascii="Arial" w:hAnsi="Arial" w:cs="Arial"/>
          <w:sz w:val="20"/>
          <w:szCs w:val="20"/>
        </w:rPr>
        <w:t>cerca de 3</w:t>
      </w:r>
      <w:r w:rsidR="009125B4">
        <w:rPr>
          <w:rFonts w:ascii="Arial" w:hAnsi="Arial" w:cs="Arial"/>
          <w:sz w:val="20"/>
          <w:szCs w:val="20"/>
        </w:rPr>
        <w:t>4</w:t>
      </w:r>
      <w:proofErr w:type="gramEnd"/>
      <w:r>
        <w:rPr>
          <w:rFonts w:ascii="Arial" w:hAnsi="Arial" w:cs="Arial"/>
          <w:sz w:val="20"/>
          <w:szCs w:val="20"/>
        </w:rPr>
        <w:t xml:space="preserve">% das exportações, seguida por </w:t>
      </w:r>
      <w:r w:rsidR="009125B4">
        <w:rPr>
          <w:rFonts w:ascii="Arial" w:hAnsi="Arial" w:cs="Arial"/>
          <w:sz w:val="20"/>
          <w:szCs w:val="20"/>
        </w:rPr>
        <w:t>Barbacena</w:t>
      </w:r>
      <w:r>
        <w:rPr>
          <w:rFonts w:ascii="Arial" w:hAnsi="Arial" w:cs="Arial"/>
          <w:sz w:val="20"/>
          <w:szCs w:val="20"/>
        </w:rPr>
        <w:t xml:space="preserve"> com 3</w:t>
      </w:r>
      <w:r w:rsidR="009125B4">
        <w:rPr>
          <w:rFonts w:ascii="Arial" w:hAnsi="Arial" w:cs="Arial"/>
          <w:sz w:val="20"/>
          <w:szCs w:val="20"/>
        </w:rPr>
        <w:t>1</w:t>
      </w:r>
      <w:r>
        <w:rPr>
          <w:rFonts w:ascii="Arial" w:hAnsi="Arial" w:cs="Arial"/>
          <w:sz w:val="20"/>
          <w:szCs w:val="20"/>
        </w:rPr>
        <w:t xml:space="preserve">%. </w:t>
      </w:r>
      <w:proofErr w:type="gramStart"/>
      <w:r>
        <w:rPr>
          <w:rFonts w:ascii="Arial" w:hAnsi="Arial" w:cs="Arial"/>
          <w:sz w:val="20"/>
          <w:szCs w:val="20"/>
        </w:rPr>
        <w:t>Lavras está</w:t>
      </w:r>
      <w:proofErr w:type="gramEnd"/>
      <w:r>
        <w:rPr>
          <w:rFonts w:ascii="Arial" w:hAnsi="Arial" w:cs="Arial"/>
          <w:sz w:val="20"/>
          <w:szCs w:val="20"/>
        </w:rPr>
        <w:t xml:space="preserve"> em terceiro lugar, com 15%. Vale observar que, em relação ao mesmo período do ano anterior houve queda nas exportações de 2</w:t>
      </w:r>
      <w:r w:rsidR="009125B4">
        <w:rPr>
          <w:rFonts w:ascii="Arial" w:hAnsi="Arial" w:cs="Arial"/>
          <w:sz w:val="20"/>
          <w:szCs w:val="20"/>
        </w:rPr>
        <w:t>6</w:t>
      </w:r>
      <w:r>
        <w:rPr>
          <w:rFonts w:ascii="Arial" w:hAnsi="Arial" w:cs="Arial"/>
          <w:sz w:val="20"/>
          <w:szCs w:val="20"/>
        </w:rPr>
        <w:t xml:space="preserve">% do município de Barbacena, passando de 41% no período de </w:t>
      </w:r>
      <w:r w:rsidR="00BD3909">
        <w:rPr>
          <w:rFonts w:ascii="Arial" w:hAnsi="Arial" w:cs="Arial"/>
          <w:sz w:val="20"/>
          <w:szCs w:val="20"/>
        </w:rPr>
        <w:t>Outubro</w:t>
      </w:r>
      <w:r>
        <w:rPr>
          <w:rFonts w:ascii="Arial" w:hAnsi="Arial" w:cs="Arial"/>
          <w:sz w:val="20"/>
          <w:szCs w:val="20"/>
        </w:rPr>
        <w:t xml:space="preserve"> de 2011, para 3</w:t>
      </w:r>
      <w:r w:rsidR="009125B4">
        <w:rPr>
          <w:rFonts w:ascii="Arial" w:hAnsi="Arial" w:cs="Arial"/>
          <w:sz w:val="20"/>
          <w:szCs w:val="20"/>
        </w:rPr>
        <w:t>1</w:t>
      </w:r>
      <w:r>
        <w:rPr>
          <w:rFonts w:ascii="Arial" w:hAnsi="Arial" w:cs="Arial"/>
          <w:sz w:val="20"/>
          <w:szCs w:val="20"/>
        </w:rPr>
        <w:t xml:space="preserve">% no período de </w:t>
      </w:r>
      <w:r w:rsidR="00BD3909">
        <w:rPr>
          <w:rFonts w:ascii="Arial" w:hAnsi="Arial" w:cs="Arial"/>
          <w:sz w:val="20"/>
          <w:szCs w:val="20"/>
        </w:rPr>
        <w:t>Outubro</w:t>
      </w:r>
      <w:r>
        <w:rPr>
          <w:rFonts w:ascii="Arial" w:hAnsi="Arial" w:cs="Arial"/>
          <w:sz w:val="20"/>
          <w:szCs w:val="20"/>
        </w:rPr>
        <w:t xml:space="preserve"> de 2012. Em relação ao mesmo mês do ano anterior, houve uma diminuição de </w:t>
      </w:r>
      <w:r w:rsidR="009125B4">
        <w:rPr>
          <w:rFonts w:ascii="Arial" w:hAnsi="Arial" w:cs="Arial"/>
          <w:sz w:val="20"/>
          <w:szCs w:val="20"/>
        </w:rPr>
        <w:t>9</w:t>
      </w:r>
      <w:r>
        <w:rPr>
          <w:rFonts w:ascii="Arial" w:hAnsi="Arial" w:cs="Arial"/>
          <w:sz w:val="20"/>
          <w:szCs w:val="20"/>
        </w:rPr>
        <w:t xml:space="preserve">% do valor exportado por Lavras e uma elevação de </w:t>
      </w:r>
      <w:r w:rsidR="009125B4">
        <w:rPr>
          <w:rFonts w:ascii="Arial" w:hAnsi="Arial" w:cs="Arial"/>
          <w:sz w:val="20"/>
          <w:szCs w:val="20"/>
        </w:rPr>
        <w:t>5</w:t>
      </w:r>
      <w:r>
        <w:rPr>
          <w:rFonts w:ascii="Arial" w:hAnsi="Arial" w:cs="Arial"/>
          <w:sz w:val="20"/>
          <w:szCs w:val="20"/>
        </w:rPr>
        <w:t xml:space="preserve">% do valor exportado por São João Del Rei. É </w:t>
      </w:r>
      <w:r>
        <w:rPr>
          <w:rFonts w:ascii="Arial" w:hAnsi="Arial" w:cs="Arial"/>
          <w:sz w:val="20"/>
          <w:szCs w:val="20"/>
        </w:rPr>
        <w:lastRenderedPageBreak/>
        <w:t xml:space="preserve">destaque também o município de Nazareno com </w:t>
      </w:r>
      <w:proofErr w:type="gramStart"/>
      <w:r>
        <w:rPr>
          <w:rFonts w:ascii="Arial" w:hAnsi="Arial" w:cs="Arial"/>
          <w:sz w:val="20"/>
          <w:szCs w:val="20"/>
        </w:rPr>
        <w:t>cerca de 1</w:t>
      </w:r>
      <w:r w:rsidR="009125B4">
        <w:rPr>
          <w:rFonts w:ascii="Arial" w:hAnsi="Arial" w:cs="Arial"/>
          <w:sz w:val="20"/>
          <w:szCs w:val="20"/>
        </w:rPr>
        <w:t>8</w:t>
      </w:r>
      <w:proofErr w:type="gramEnd"/>
      <w:r>
        <w:rPr>
          <w:rFonts w:ascii="Arial" w:hAnsi="Arial" w:cs="Arial"/>
          <w:sz w:val="20"/>
          <w:szCs w:val="20"/>
        </w:rPr>
        <w:t xml:space="preserve">% das exportações. Estes resultados implicam em redução da concentração na pauta de exportação dentro da região Campo das Vertentes. (Vide GRAF. 3). </w:t>
      </w:r>
    </w:p>
    <w:p w:rsidR="00425395" w:rsidRDefault="00425395" w:rsidP="00425395">
      <w:pPr>
        <w:pStyle w:val="Corpodetexto31"/>
        <w:jc w:val="both"/>
      </w:pPr>
      <w:r>
        <w:rPr>
          <w:rFonts w:ascii="Arial" w:hAnsi="Arial" w:cs="Arial"/>
          <w:sz w:val="20"/>
          <w:szCs w:val="20"/>
        </w:rPr>
        <w:t xml:space="preserve">Os resultados de </w:t>
      </w:r>
      <w:r w:rsidR="00BD3909">
        <w:rPr>
          <w:rFonts w:ascii="Arial" w:hAnsi="Arial" w:cs="Arial"/>
          <w:sz w:val="20"/>
          <w:szCs w:val="20"/>
        </w:rPr>
        <w:t>Outubro</w:t>
      </w:r>
      <w:r>
        <w:rPr>
          <w:rFonts w:ascii="Arial" w:hAnsi="Arial" w:cs="Arial"/>
          <w:sz w:val="20"/>
          <w:szCs w:val="20"/>
        </w:rPr>
        <w:t xml:space="preserve"> de 2012 indicam um arrefecimento no ritmo de crescimento do comércio exterior da região Campo das Vertentes, acompanhado de uma concentração e especialização especialmente para as exportações. Ademais, a participação de importações na corrente de comércio no Campo das Vertentes tem apresentado expressivo crescimento em relação ao ano anterior sinalizando para uma ampliação da relação de interdependência setorial nesta região. </w:t>
      </w:r>
    </w:p>
    <w:p w:rsidR="00425395" w:rsidRDefault="00425395" w:rsidP="00425395">
      <w:pPr>
        <w:pStyle w:val="Recuodecorpodetexto31"/>
        <w:ind w:left="0"/>
        <w:jc w:val="both"/>
      </w:pPr>
      <w:r>
        <w:rPr>
          <w:rFonts w:ascii="Arial" w:hAnsi="Arial" w:cs="Arial"/>
          <w:bCs/>
          <w:sz w:val="20"/>
          <w:szCs w:val="20"/>
        </w:rPr>
        <w:t xml:space="preserve">São muitas as frentes que podem ser trabalhas para promover a intensificação do comercio exterior, diversificar os destinos e a pauta exportadora e agregar valor aos produtos dos municípios. Tais </w:t>
      </w:r>
      <w:r>
        <w:rPr>
          <w:rFonts w:ascii="Arial" w:hAnsi="Arial" w:cs="Arial"/>
          <w:sz w:val="20"/>
          <w:szCs w:val="20"/>
        </w:rPr>
        <w:t xml:space="preserve">medidas podem produzir uma nova dinâmica de negócios para as empresas e para a região. Uma delas seria o Projeto Primeira Exportação do Ministério do Desenvolvimento, Indústria e Comércio Exterior, </w:t>
      </w:r>
      <w:proofErr w:type="gramStart"/>
      <w:r>
        <w:rPr>
          <w:rFonts w:ascii="Arial" w:hAnsi="Arial" w:cs="Arial"/>
          <w:sz w:val="20"/>
          <w:szCs w:val="20"/>
        </w:rPr>
        <w:t>pedimos</w:t>
      </w:r>
      <w:proofErr w:type="gramEnd"/>
      <w:r>
        <w:rPr>
          <w:rFonts w:ascii="Arial" w:hAnsi="Arial" w:cs="Arial"/>
          <w:sz w:val="20"/>
          <w:szCs w:val="20"/>
        </w:rPr>
        <w:t xml:space="preserve">, por gentileza, que verifique as informações que estão disponíveis no site do MDIC/SECEX, </w:t>
      </w:r>
      <w:hyperlink r:id="rId7">
        <w:r>
          <w:rPr>
            <w:rStyle w:val="LinkdaInternet"/>
            <w:rFonts w:ascii="Arial" w:hAnsi="Arial"/>
          </w:rPr>
          <w:t>www.primeiraexportacao.mdic.gov.br</w:t>
        </w:r>
      </w:hyperlink>
    </w:p>
    <w:p w:rsidR="00425395" w:rsidRDefault="00425395" w:rsidP="00425395">
      <w:pPr>
        <w:pStyle w:val="Padro"/>
      </w:pPr>
    </w:p>
    <w:p w:rsidR="00425395" w:rsidRDefault="00425395" w:rsidP="000577E1">
      <w:pPr>
        <w:pStyle w:val="Padro"/>
        <w:spacing w:after="0" w:line="240" w:lineRule="auto"/>
        <w:jc w:val="center"/>
      </w:pPr>
      <w:r>
        <w:rPr>
          <w:rFonts w:ascii="Arial" w:hAnsi="Arial" w:cs="Arial"/>
          <w:b/>
          <w:sz w:val="18"/>
          <w:szCs w:val="18"/>
        </w:rPr>
        <w:t xml:space="preserve">TABELA 1 - VALOR DAS EXPORTAÇÕES E IMPORTAÇÕES – Campus das Vertentes– JAN - </w:t>
      </w:r>
      <w:r w:rsidR="00BD3909">
        <w:rPr>
          <w:rFonts w:ascii="Arial" w:hAnsi="Arial" w:cs="Arial"/>
          <w:b/>
          <w:sz w:val="18"/>
          <w:szCs w:val="18"/>
        </w:rPr>
        <w:t>OUTUBRO</w:t>
      </w:r>
      <w:r>
        <w:rPr>
          <w:rFonts w:ascii="Arial" w:hAnsi="Arial" w:cs="Arial"/>
          <w:b/>
          <w:sz w:val="18"/>
          <w:szCs w:val="18"/>
        </w:rPr>
        <w:t xml:space="preserve"> 2011-2012 (US$ MILHÕES FOB)</w:t>
      </w:r>
    </w:p>
    <w:tbl>
      <w:tblPr>
        <w:tblW w:w="0" w:type="auto"/>
        <w:tblInd w:w="-70" w:type="dxa"/>
        <w:tblBorders>
          <w:top w:val="single" w:sz="4" w:space="0" w:color="000001"/>
          <w:bottom w:val="single" w:sz="4" w:space="0" w:color="000001"/>
        </w:tblBorders>
        <w:tblLayout w:type="fixed"/>
        <w:tblCellMar>
          <w:left w:w="10" w:type="dxa"/>
          <w:right w:w="10" w:type="dxa"/>
        </w:tblCellMar>
        <w:tblLook w:val="0000"/>
      </w:tblPr>
      <w:tblGrid>
        <w:gridCol w:w="2125"/>
        <w:gridCol w:w="1647"/>
        <w:gridCol w:w="1647"/>
        <w:gridCol w:w="1647"/>
        <w:gridCol w:w="1648"/>
      </w:tblGrid>
      <w:tr w:rsidR="00425395" w:rsidRPr="00931A4D" w:rsidTr="008B6C95">
        <w:trPr>
          <w:cantSplit/>
          <w:trHeight w:val="255"/>
        </w:trPr>
        <w:tc>
          <w:tcPr>
            <w:tcW w:w="2125" w:type="dxa"/>
            <w:tcBorders>
              <w:top w:val="single" w:sz="4" w:space="0" w:color="000001"/>
              <w:bottom w:val="single" w:sz="4" w:space="0" w:color="000001"/>
            </w:tcBorders>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rPr>
                <w:rFonts w:cs="Times New Roman"/>
                <w:sz w:val="20"/>
                <w:szCs w:val="20"/>
              </w:rPr>
            </w:pPr>
            <w:r w:rsidRPr="00931A4D">
              <w:rPr>
                <w:rFonts w:cs="Times New Roman"/>
                <w:b/>
                <w:sz w:val="20"/>
                <w:szCs w:val="20"/>
              </w:rPr>
              <w:t>Especificação</w:t>
            </w:r>
          </w:p>
        </w:tc>
        <w:tc>
          <w:tcPr>
            <w:tcW w:w="1647" w:type="dxa"/>
            <w:tcBorders>
              <w:top w:val="single" w:sz="4" w:space="0" w:color="000001"/>
              <w:bottom w:val="single" w:sz="4" w:space="0" w:color="000001"/>
            </w:tcBorders>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jc w:val="center"/>
              <w:rPr>
                <w:rFonts w:cs="Times New Roman"/>
                <w:sz w:val="20"/>
                <w:szCs w:val="20"/>
              </w:rPr>
            </w:pPr>
            <w:r w:rsidRPr="00931A4D">
              <w:rPr>
                <w:rFonts w:cs="Times New Roman"/>
                <w:b/>
                <w:sz w:val="20"/>
                <w:szCs w:val="20"/>
              </w:rPr>
              <w:t>Exportação</w:t>
            </w:r>
          </w:p>
        </w:tc>
        <w:tc>
          <w:tcPr>
            <w:tcW w:w="1647" w:type="dxa"/>
            <w:tcBorders>
              <w:top w:val="single" w:sz="4" w:space="0" w:color="000001"/>
              <w:bottom w:val="single" w:sz="4" w:space="0" w:color="000001"/>
            </w:tcBorders>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jc w:val="center"/>
              <w:rPr>
                <w:rFonts w:cs="Times New Roman"/>
                <w:sz w:val="20"/>
                <w:szCs w:val="20"/>
              </w:rPr>
            </w:pPr>
            <w:r w:rsidRPr="00931A4D">
              <w:rPr>
                <w:rFonts w:cs="Times New Roman"/>
                <w:b/>
                <w:sz w:val="20"/>
                <w:szCs w:val="20"/>
              </w:rPr>
              <w:t>Importação</w:t>
            </w:r>
          </w:p>
        </w:tc>
        <w:tc>
          <w:tcPr>
            <w:tcW w:w="1647" w:type="dxa"/>
            <w:tcBorders>
              <w:top w:val="single" w:sz="4" w:space="0" w:color="000001"/>
              <w:bottom w:val="single" w:sz="4" w:space="0" w:color="000001"/>
            </w:tcBorders>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jc w:val="center"/>
              <w:rPr>
                <w:rFonts w:cs="Times New Roman"/>
                <w:sz w:val="20"/>
                <w:szCs w:val="20"/>
              </w:rPr>
            </w:pPr>
            <w:r w:rsidRPr="00931A4D">
              <w:rPr>
                <w:rFonts w:cs="Times New Roman"/>
                <w:b/>
                <w:sz w:val="20"/>
                <w:szCs w:val="20"/>
              </w:rPr>
              <w:t>Saldo</w:t>
            </w:r>
          </w:p>
        </w:tc>
        <w:tc>
          <w:tcPr>
            <w:tcW w:w="1648" w:type="dxa"/>
            <w:tcBorders>
              <w:top w:val="single" w:sz="4" w:space="0" w:color="000001"/>
              <w:bottom w:val="single" w:sz="4" w:space="0" w:color="000001"/>
            </w:tcBorders>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jc w:val="center"/>
              <w:rPr>
                <w:rFonts w:cs="Times New Roman"/>
                <w:sz w:val="20"/>
                <w:szCs w:val="20"/>
              </w:rPr>
            </w:pPr>
            <w:r w:rsidRPr="00931A4D">
              <w:rPr>
                <w:rFonts w:cs="Times New Roman"/>
                <w:b/>
                <w:sz w:val="20"/>
                <w:szCs w:val="20"/>
              </w:rPr>
              <w:t>Corrente de comercio</w:t>
            </w:r>
          </w:p>
        </w:tc>
      </w:tr>
      <w:tr w:rsidR="00AB7575" w:rsidRPr="00931A4D" w:rsidTr="00AB7575">
        <w:trPr>
          <w:cantSplit/>
          <w:trHeight w:val="255"/>
        </w:trPr>
        <w:tc>
          <w:tcPr>
            <w:tcW w:w="2125" w:type="dxa"/>
            <w:tcBorders>
              <w:top w:val="single" w:sz="4" w:space="0" w:color="000001"/>
            </w:tcBorders>
            <w:shd w:val="clear" w:color="auto" w:fill="auto"/>
            <w:tcMar>
              <w:top w:w="0" w:type="dxa"/>
              <w:left w:w="70" w:type="dxa"/>
              <w:bottom w:w="0" w:type="dxa"/>
              <w:right w:w="70" w:type="dxa"/>
            </w:tcMar>
            <w:vAlign w:val="center"/>
          </w:tcPr>
          <w:p w:rsidR="00AB7575" w:rsidRPr="00931A4D" w:rsidRDefault="00AB7575" w:rsidP="003F5244">
            <w:pPr>
              <w:pStyle w:val="Padro"/>
              <w:spacing w:after="0" w:line="240" w:lineRule="auto"/>
              <w:rPr>
                <w:rFonts w:cs="Times New Roman"/>
                <w:sz w:val="20"/>
                <w:szCs w:val="20"/>
              </w:rPr>
            </w:pPr>
            <w:r w:rsidRPr="00931A4D">
              <w:rPr>
                <w:rFonts w:cs="Times New Roman"/>
                <w:sz w:val="20"/>
                <w:szCs w:val="20"/>
                <w:lang w:val="en-US"/>
              </w:rPr>
              <w:t xml:space="preserve">Janeiro - </w:t>
            </w:r>
            <w:proofErr w:type="spellStart"/>
            <w:r>
              <w:rPr>
                <w:rFonts w:cs="Times New Roman"/>
                <w:sz w:val="20"/>
                <w:szCs w:val="20"/>
                <w:lang w:val="en-US"/>
              </w:rPr>
              <w:t>Outubro</w:t>
            </w:r>
            <w:proofErr w:type="spellEnd"/>
            <w:r w:rsidRPr="00931A4D">
              <w:rPr>
                <w:rFonts w:cs="Times New Roman"/>
                <w:sz w:val="20"/>
                <w:szCs w:val="20"/>
                <w:lang w:val="en-US"/>
              </w:rPr>
              <w:t xml:space="preserve"> 2011</w:t>
            </w:r>
          </w:p>
        </w:tc>
        <w:tc>
          <w:tcPr>
            <w:tcW w:w="1647" w:type="dxa"/>
            <w:tcBorders>
              <w:top w:val="single" w:sz="4" w:space="0" w:color="000001"/>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288,72</w:t>
            </w:r>
          </w:p>
        </w:tc>
        <w:tc>
          <w:tcPr>
            <w:tcW w:w="1647" w:type="dxa"/>
            <w:tcBorders>
              <w:top w:val="single" w:sz="4" w:space="0" w:color="000001"/>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43,77</w:t>
            </w:r>
          </w:p>
        </w:tc>
        <w:tc>
          <w:tcPr>
            <w:tcW w:w="1647" w:type="dxa"/>
            <w:tcBorders>
              <w:top w:val="single" w:sz="4" w:space="0" w:color="000001"/>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244,95</w:t>
            </w:r>
          </w:p>
        </w:tc>
        <w:tc>
          <w:tcPr>
            <w:tcW w:w="1648" w:type="dxa"/>
            <w:tcBorders>
              <w:top w:val="single" w:sz="4" w:space="0" w:color="000001"/>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332,49</w:t>
            </w:r>
          </w:p>
        </w:tc>
      </w:tr>
      <w:tr w:rsidR="00AB7575" w:rsidRPr="00931A4D" w:rsidTr="00AB7575">
        <w:trPr>
          <w:cantSplit/>
          <w:trHeight w:val="255"/>
        </w:trPr>
        <w:tc>
          <w:tcPr>
            <w:tcW w:w="2125" w:type="dxa"/>
            <w:shd w:val="clear" w:color="auto" w:fill="auto"/>
            <w:tcMar>
              <w:top w:w="0" w:type="dxa"/>
              <w:left w:w="70" w:type="dxa"/>
              <w:bottom w:w="0" w:type="dxa"/>
              <w:right w:w="70" w:type="dxa"/>
            </w:tcMar>
            <w:vAlign w:val="center"/>
          </w:tcPr>
          <w:p w:rsidR="00AB7575" w:rsidRPr="00931A4D" w:rsidRDefault="00AB7575" w:rsidP="003F5244">
            <w:pPr>
              <w:pStyle w:val="Padro"/>
              <w:spacing w:after="0" w:line="240" w:lineRule="auto"/>
              <w:rPr>
                <w:rFonts w:cs="Times New Roman"/>
                <w:sz w:val="20"/>
                <w:szCs w:val="20"/>
              </w:rPr>
            </w:pPr>
            <w:r w:rsidRPr="00931A4D">
              <w:rPr>
                <w:rFonts w:cs="Times New Roman"/>
                <w:sz w:val="20"/>
                <w:szCs w:val="20"/>
                <w:lang w:val="en-US"/>
              </w:rPr>
              <w:t xml:space="preserve">Janeiro - </w:t>
            </w:r>
            <w:proofErr w:type="spellStart"/>
            <w:r>
              <w:rPr>
                <w:rFonts w:cs="Times New Roman"/>
                <w:sz w:val="20"/>
                <w:szCs w:val="20"/>
                <w:lang w:val="en-US"/>
              </w:rPr>
              <w:t>Outubro</w:t>
            </w:r>
            <w:proofErr w:type="spellEnd"/>
            <w:r w:rsidRPr="00931A4D">
              <w:rPr>
                <w:rFonts w:cs="Times New Roman"/>
                <w:sz w:val="20"/>
                <w:szCs w:val="20"/>
                <w:lang w:val="en-US"/>
              </w:rPr>
              <w:t xml:space="preserve"> 2012</w:t>
            </w:r>
          </w:p>
        </w:tc>
        <w:tc>
          <w:tcPr>
            <w:tcW w:w="1647" w:type="dxa"/>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244,99</w:t>
            </w:r>
          </w:p>
        </w:tc>
        <w:tc>
          <w:tcPr>
            <w:tcW w:w="1647" w:type="dxa"/>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52,76</w:t>
            </w:r>
          </w:p>
        </w:tc>
        <w:tc>
          <w:tcPr>
            <w:tcW w:w="1647" w:type="dxa"/>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192,23</w:t>
            </w:r>
          </w:p>
        </w:tc>
        <w:tc>
          <w:tcPr>
            <w:tcW w:w="1648" w:type="dxa"/>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297,76</w:t>
            </w:r>
          </w:p>
        </w:tc>
      </w:tr>
      <w:tr w:rsidR="002F58D5" w:rsidRPr="00931A4D" w:rsidTr="002F58D5">
        <w:trPr>
          <w:cantSplit/>
          <w:trHeight w:val="255"/>
        </w:trPr>
        <w:tc>
          <w:tcPr>
            <w:tcW w:w="2125" w:type="dxa"/>
            <w:shd w:val="clear" w:color="auto" w:fill="auto"/>
            <w:tcMar>
              <w:top w:w="0" w:type="dxa"/>
              <w:left w:w="70" w:type="dxa"/>
              <w:bottom w:w="0" w:type="dxa"/>
              <w:right w:w="70" w:type="dxa"/>
            </w:tcMar>
            <w:vAlign w:val="center"/>
          </w:tcPr>
          <w:p w:rsidR="002F58D5" w:rsidRPr="00931A4D" w:rsidRDefault="002F58D5" w:rsidP="003F5244">
            <w:pPr>
              <w:pStyle w:val="Padro"/>
              <w:spacing w:after="0" w:line="240" w:lineRule="auto"/>
              <w:rPr>
                <w:rFonts w:cs="Times New Roman"/>
                <w:sz w:val="20"/>
                <w:szCs w:val="20"/>
              </w:rPr>
            </w:pPr>
            <w:r w:rsidRPr="00931A4D">
              <w:rPr>
                <w:rFonts w:cs="Times New Roman"/>
                <w:sz w:val="20"/>
                <w:szCs w:val="20"/>
              </w:rPr>
              <w:t>Variação no período (%)</w:t>
            </w:r>
          </w:p>
        </w:tc>
        <w:tc>
          <w:tcPr>
            <w:tcW w:w="1647" w:type="dxa"/>
            <w:shd w:val="clear" w:color="auto" w:fill="auto"/>
            <w:tcMar>
              <w:top w:w="0" w:type="dxa"/>
              <w:left w:w="70" w:type="dxa"/>
              <w:bottom w:w="0" w:type="dxa"/>
              <w:right w:w="70" w:type="dxa"/>
            </w:tcMar>
            <w:vAlign w:val="center"/>
          </w:tcPr>
          <w:p w:rsidR="002F58D5" w:rsidRPr="002F58D5" w:rsidRDefault="002F58D5" w:rsidP="002F58D5">
            <w:pPr>
              <w:jc w:val="center"/>
              <w:rPr>
                <w:sz w:val="20"/>
                <w:szCs w:val="20"/>
              </w:rPr>
            </w:pPr>
            <w:r w:rsidRPr="002F58D5">
              <w:rPr>
                <w:sz w:val="20"/>
                <w:szCs w:val="20"/>
              </w:rPr>
              <w:t>-15,15</w:t>
            </w:r>
          </w:p>
        </w:tc>
        <w:tc>
          <w:tcPr>
            <w:tcW w:w="1647" w:type="dxa"/>
            <w:shd w:val="clear" w:color="auto" w:fill="auto"/>
            <w:tcMar>
              <w:top w:w="0" w:type="dxa"/>
              <w:left w:w="70" w:type="dxa"/>
              <w:bottom w:w="0" w:type="dxa"/>
              <w:right w:w="70" w:type="dxa"/>
            </w:tcMar>
            <w:vAlign w:val="center"/>
          </w:tcPr>
          <w:p w:rsidR="002F58D5" w:rsidRPr="002F58D5" w:rsidRDefault="002F58D5" w:rsidP="002F58D5">
            <w:pPr>
              <w:jc w:val="center"/>
              <w:rPr>
                <w:sz w:val="20"/>
                <w:szCs w:val="20"/>
              </w:rPr>
            </w:pPr>
            <w:r w:rsidRPr="002F58D5">
              <w:rPr>
                <w:sz w:val="20"/>
                <w:szCs w:val="20"/>
              </w:rPr>
              <w:t>20,55</w:t>
            </w:r>
          </w:p>
        </w:tc>
        <w:tc>
          <w:tcPr>
            <w:tcW w:w="1647" w:type="dxa"/>
            <w:shd w:val="clear" w:color="auto" w:fill="auto"/>
            <w:tcMar>
              <w:top w:w="0" w:type="dxa"/>
              <w:left w:w="70" w:type="dxa"/>
              <w:bottom w:w="0" w:type="dxa"/>
              <w:right w:w="70" w:type="dxa"/>
            </w:tcMar>
            <w:vAlign w:val="center"/>
          </w:tcPr>
          <w:p w:rsidR="002F58D5" w:rsidRPr="002F58D5" w:rsidRDefault="002F58D5" w:rsidP="002F58D5">
            <w:pPr>
              <w:jc w:val="center"/>
              <w:rPr>
                <w:sz w:val="20"/>
                <w:szCs w:val="20"/>
              </w:rPr>
            </w:pPr>
            <w:r w:rsidRPr="002F58D5">
              <w:rPr>
                <w:sz w:val="20"/>
                <w:szCs w:val="20"/>
              </w:rPr>
              <w:t>-21,52</w:t>
            </w:r>
          </w:p>
        </w:tc>
        <w:tc>
          <w:tcPr>
            <w:tcW w:w="1648" w:type="dxa"/>
            <w:shd w:val="clear" w:color="auto" w:fill="auto"/>
            <w:tcMar>
              <w:top w:w="0" w:type="dxa"/>
              <w:left w:w="70" w:type="dxa"/>
              <w:bottom w:w="0" w:type="dxa"/>
              <w:right w:w="70" w:type="dxa"/>
            </w:tcMar>
            <w:vAlign w:val="center"/>
          </w:tcPr>
          <w:p w:rsidR="002F58D5" w:rsidRPr="002F58D5" w:rsidRDefault="002F58D5" w:rsidP="002F58D5">
            <w:pPr>
              <w:jc w:val="center"/>
              <w:rPr>
                <w:sz w:val="20"/>
                <w:szCs w:val="20"/>
              </w:rPr>
            </w:pPr>
            <w:r w:rsidRPr="002F58D5">
              <w:rPr>
                <w:sz w:val="20"/>
                <w:szCs w:val="20"/>
              </w:rPr>
              <w:t>-10,45</w:t>
            </w:r>
          </w:p>
        </w:tc>
      </w:tr>
      <w:tr w:rsidR="00AB7575" w:rsidRPr="00931A4D" w:rsidTr="00AB7575">
        <w:trPr>
          <w:cantSplit/>
          <w:trHeight w:val="255"/>
        </w:trPr>
        <w:tc>
          <w:tcPr>
            <w:tcW w:w="2125" w:type="dxa"/>
            <w:shd w:val="clear" w:color="auto" w:fill="auto"/>
            <w:tcMar>
              <w:top w:w="0" w:type="dxa"/>
              <w:left w:w="70" w:type="dxa"/>
              <w:bottom w:w="0" w:type="dxa"/>
              <w:right w:w="70" w:type="dxa"/>
            </w:tcMar>
            <w:vAlign w:val="center"/>
          </w:tcPr>
          <w:p w:rsidR="00AB7575" w:rsidRPr="00931A4D" w:rsidRDefault="00AB7575" w:rsidP="003F5244">
            <w:pPr>
              <w:pStyle w:val="Padro"/>
              <w:spacing w:after="0" w:line="240" w:lineRule="auto"/>
              <w:rPr>
                <w:rFonts w:cs="Times New Roman"/>
                <w:sz w:val="20"/>
                <w:szCs w:val="20"/>
              </w:rPr>
            </w:pPr>
          </w:p>
        </w:tc>
        <w:tc>
          <w:tcPr>
            <w:tcW w:w="1647" w:type="dxa"/>
            <w:shd w:val="clear" w:color="auto" w:fill="auto"/>
            <w:tcMar>
              <w:top w:w="0" w:type="dxa"/>
              <w:left w:w="70" w:type="dxa"/>
              <w:bottom w:w="0" w:type="dxa"/>
              <w:right w:w="70" w:type="dxa"/>
            </w:tcMar>
            <w:vAlign w:val="center"/>
          </w:tcPr>
          <w:p w:rsidR="00AB7575" w:rsidRPr="00AB7575" w:rsidRDefault="00AB7575" w:rsidP="00AB7575">
            <w:pPr>
              <w:pStyle w:val="Padro"/>
              <w:spacing w:after="0" w:line="240" w:lineRule="auto"/>
              <w:jc w:val="center"/>
              <w:rPr>
                <w:rFonts w:cs="Times New Roman"/>
                <w:sz w:val="20"/>
                <w:szCs w:val="20"/>
              </w:rPr>
            </w:pPr>
          </w:p>
        </w:tc>
        <w:tc>
          <w:tcPr>
            <w:tcW w:w="1647" w:type="dxa"/>
            <w:shd w:val="clear" w:color="auto" w:fill="auto"/>
            <w:tcMar>
              <w:top w:w="0" w:type="dxa"/>
              <w:left w:w="70" w:type="dxa"/>
              <w:bottom w:w="0" w:type="dxa"/>
              <w:right w:w="70" w:type="dxa"/>
            </w:tcMar>
            <w:vAlign w:val="center"/>
          </w:tcPr>
          <w:p w:rsidR="00AB7575" w:rsidRPr="00AB7575" w:rsidRDefault="00AB7575" w:rsidP="00AB7575">
            <w:pPr>
              <w:pStyle w:val="Padro"/>
              <w:spacing w:after="0" w:line="240" w:lineRule="auto"/>
              <w:jc w:val="center"/>
              <w:rPr>
                <w:rFonts w:cs="Times New Roman"/>
                <w:sz w:val="20"/>
                <w:szCs w:val="20"/>
              </w:rPr>
            </w:pPr>
          </w:p>
        </w:tc>
        <w:tc>
          <w:tcPr>
            <w:tcW w:w="1647" w:type="dxa"/>
            <w:shd w:val="clear" w:color="auto" w:fill="auto"/>
            <w:tcMar>
              <w:top w:w="0" w:type="dxa"/>
              <w:left w:w="70" w:type="dxa"/>
              <w:bottom w:w="0" w:type="dxa"/>
              <w:right w:w="70" w:type="dxa"/>
            </w:tcMar>
            <w:vAlign w:val="center"/>
          </w:tcPr>
          <w:p w:rsidR="00AB7575" w:rsidRPr="00AB7575" w:rsidRDefault="00AB7575" w:rsidP="00AB7575">
            <w:pPr>
              <w:pStyle w:val="Padro"/>
              <w:spacing w:after="0" w:line="240" w:lineRule="auto"/>
              <w:jc w:val="center"/>
              <w:rPr>
                <w:rFonts w:cs="Times New Roman"/>
                <w:sz w:val="20"/>
                <w:szCs w:val="20"/>
              </w:rPr>
            </w:pPr>
          </w:p>
        </w:tc>
        <w:tc>
          <w:tcPr>
            <w:tcW w:w="1648" w:type="dxa"/>
            <w:shd w:val="clear" w:color="auto" w:fill="auto"/>
            <w:tcMar>
              <w:top w:w="0" w:type="dxa"/>
              <w:left w:w="70" w:type="dxa"/>
              <w:bottom w:w="0" w:type="dxa"/>
              <w:right w:w="70" w:type="dxa"/>
            </w:tcMar>
            <w:vAlign w:val="center"/>
          </w:tcPr>
          <w:p w:rsidR="00AB7575" w:rsidRPr="00AB7575" w:rsidRDefault="00AB7575" w:rsidP="00AB7575">
            <w:pPr>
              <w:pStyle w:val="Padro"/>
              <w:spacing w:after="0" w:line="240" w:lineRule="auto"/>
              <w:jc w:val="center"/>
              <w:rPr>
                <w:rFonts w:cs="Times New Roman"/>
                <w:sz w:val="20"/>
                <w:szCs w:val="20"/>
              </w:rPr>
            </w:pPr>
          </w:p>
        </w:tc>
      </w:tr>
      <w:tr w:rsidR="00425395" w:rsidRPr="00931A4D" w:rsidTr="00AB7575">
        <w:trPr>
          <w:cantSplit/>
          <w:trHeight w:val="255"/>
        </w:trPr>
        <w:tc>
          <w:tcPr>
            <w:tcW w:w="2125" w:type="dxa"/>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rPr>
                <w:rFonts w:cs="Times New Roman"/>
                <w:sz w:val="20"/>
                <w:szCs w:val="20"/>
              </w:rPr>
            </w:pPr>
            <w:r w:rsidRPr="00931A4D">
              <w:rPr>
                <w:rFonts w:cs="Times New Roman"/>
                <w:sz w:val="20"/>
                <w:szCs w:val="20"/>
              </w:rPr>
              <w:t>Janeiro</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26,12</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2,71</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23,40</w:t>
            </w:r>
          </w:p>
        </w:tc>
        <w:tc>
          <w:tcPr>
            <w:tcW w:w="1648"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28,83</w:t>
            </w:r>
          </w:p>
        </w:tc>
      </w:tr>
      <w:tr w:rsidR="00425395" w:rsidRPr="00931A4D" w:rsidTr="00AB7575">
        <w:trPr>
          <w:cantSplit/>
          <w:trHeight w:val="255"/>
        </w:trPr>
        <w:tc>
          <w:tcPr>
            <w:tcW w:w="2125" w:type="dxa"/>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rPr>
                <w:rFonts w:cs="Times New Roman"/>
                <w:sz w:val="20"/>
                <w:szCs w:val="20"/>
              </w:rPr>
            </w:pPr>
            <w:r w:rsidRPr="00931A4D">
              <w:rPr>
                <w:rFonts w:cs="Times New Roman"/>
                <w:sz w:val="20"/>
                <w:szCs w:val="20"/>
              </w:rPr>
              <w:t>Fevereiro</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20,38</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4,49</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15,90</w:t>
            </w:r>
          </w:p>
        </w:tc>
        <w:tc>
          <w:tcPr>
            <w:tcW w:w="1648"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24,87</w:t>
            </w:r>
          </w:p>
        </w:tc>
      </w:tr>
      <w:tr w:rsidR="00425395" w:rsidRPr="00931A4D" w:rsidTr="00AB7575">
        <w:trPr>
          <w:cantSplit/>
          <w:trHeight w:val="255"/>
        </w:trPr>
        <w:tc>
          <w:tcPr>
            <w:tcW w:w="2125" w:type="dxa"/>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rPr>
                <w:rFonts w:cs="Times New Roman"/>
                <w:sz w:val="20"/>
                <w:szCs w:val="20"/>
              </w:rPr>
            </w:pPr>
            <w:proofErr w:type="spellStart"/>
            <w:r w:rsidRPr="00931A4D">
              <w:rPr>
                <w:rFonts w:cs="Times New Roman"/>
                <w:sz w:val="20"/>
                <w:szCs w:val="20"/>
                <w:lang w:val="en-US"/>
              </w:rPr>
              <w:t>Março</w:t>
            </w:r>
            <w:proofErr w:type="spellEnd"/>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33,44</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5,18</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28,26</w:t>
            </w:r>
          </w:p>
        </w:tc>
        <w:tc>
          <w:tcPr>
            <w:tcW w:w="1648"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38,62</w:t>
            </w:r>
          </w:p>
        </w:tc>
      </w:tr>
      <w:tr w:rsidR="00425395" w:rsidRPr="00931A4D" w:rsidTr="00AB7575">
        <w:trPr>
          <w:cantSplit/>
          <w:trHeight w:val="255"/>
        </w:trPr>
        <w:tc>
          <w:tcPr>
            <w:tcW w:w="2125" w:type="dxa"/>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rPr>
                <w:rFonts w:cs="Times New Roman"/>
                <w:sz w:val="20"/>
                <w:szCs w:val="20"/>
              </w:rPr>
            </w:pPr>
            <w:proofErr w:type="spellStart"/>
            <w:r w:rsidRPr="00931A4D">
              <w:rPr>
                <w:rFonts w:cs="Times New Roman"/>
                <w:sz w:val="20"/>
                <w:szCs w:val="20"/>
                <w:lang w:val="en-US"/>
              </w:rPr>
              <w:t>Abril</w:t>
            </w:r>
            <w:proofErr w:type="spellEnd"/>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25,41</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2,07</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23,33</w:t>
            </w:r>
          </w:p>
        </w:tc>
        <w:tc>
          <w:tcPr>
            <w:tcW w:w="1648"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27,48</w:t>
            </w:r>
          </w:p>
        </w:tc>
      </w:tr>
      <w:tr w:rsidR="00425395" w:rsidRPr="00931A4D" w:rsidTr="00AB7575">
        <w:trPr>
          <w:cantSplit/>
          <w:trHeight w:val="255"/>
        </w:trPr>
        <w:tc>
          <w:tcPr>
            <w:tcW w:w="2125" w:type="dxa"/>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rPr>
                <w:rFonts w:cs="Times New Roman"/>
                <w:sz w:val="20"/>
                <w:szCs w:val="20"/>
              </w:rPr>
            </w:pPr>
            <w:proofErr w:type="spellStart"/>
            <w:r w:rsidRPr="00931A4D">
              <w:rPr>
                <w:rFonts w:cs="Times New Roman"/>
                <w:sz w:val="20"/>
                <w:szCs w:val="20"/>
                <w:lang w:val="en-US"/>
              </w:rPr>
              <w:t>Maio</w:t>
            </w:r>
            <w:proofErr w:type="spellEnd"/>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30,97</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6,32</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24,65</w:t>
            </w:r>
          </w:p>
        </w:tc>
        <w:tc>
          <w:tcPr>
            <w:tcW w:w="1648"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37,29</w:t>
            </w:r>
          </w:p>
        </w:tc>
      </w:tr>
      <w:tr w:rsidR="00425395" w:rsidRPr="00931A4D" w:rsidTr="00AB7575">
        <w:trPr>
          <w:cantSplit/>
          <w:trHeight w:val="255"/>
        </w:trPr>
        <w:tc>
          <w:tcPr>
            <w:tcW w:w="2125" w:type="dxa"/>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rPr>
                <w:rFonts w:cs="Times New Roman"/>
                <w:sz w:val="20"/>
                <w:szCs w:val="20"/>
              </w:rPr>
            </w:pPr>
            <w:proofErr w:type="spellStart"/>
            <w:r w:rsidRPr="00931A4D">
              <w:rPr>
                <w:rFonts w:cs="Times New Roman"/>
                <w:sz w:val="20"/>
                <w:szCs w:val="20"/>
                <w:lang w:val="en-US"/>
              </w:rPr>
              <w:t>Junho</w:t>
            </w:r>
            <w:proofErr w:type="spellEnd"/>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20,77</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2,41</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18,36</w:t>
            </w:r>
          </w:p>
        </w:tc>
        <w:tc>
          <w:tcPr>
            <w:tcW w:w="1648"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23,18</w:t>
            </w:r>
          </w:p>
        </w:tc>
      </w:tr>
      <w:tr w:rsidR="00425395" w:rsidRPr="00931A4D" w:rsidTr="00AB7575">
        <w:trPr>
          <w:cantSplit/>
          <w:trHeight w:val="255"/>
        </w:trPr>
        <w:tc>
          <w:tcPr>
            <w:tcW w:w="2125" w:type="dxa"/>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rPr>
                <w:rFonts w:cs="Times New Roman"/>
                <w:sz w:val="20"/>
                <w:szCs w:val="20"/>
              </w:rPr>
            </w:pPr>
            <w:proofErr w:type="spellStart"/>
            <w:r w:rsidRPr="00931A4D">
              <w:rPr>
                <w:rFonts w:cs="Times New Roman"/>
                <w:sz w:val="20"/>
                <w:szCs w:val="20"/>
                <w:lang w:val="en-US"/>
              </w:rPr>
              <w:t>Julho</w:t>
            </w:r>
            <w:proofErr w:type="spellEnd"/>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19,54</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9,31</w:t>
            </w:r>
          </w:p>
        </w:tc>
        <w:tc>
          <w:tcPr>
            <w:tcW w:w="1647"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10,23</w:t>
            </w:r>
          </w:p>
        </w:tc>
        <w:tc>
          <w:tcPr>
            <w:tcW w:w="1648" w:type="dxa"/>
            <w:shd w:val="clear" w:color="auto" w:fill="auto"/>
            <w:tcMar>
              <w:top w:w="0" w:type="dxa"/>
              <w:left w:w="70" w:type="dxa"/>
              <w:bottom w:w="0" w:type="dxa"/>
              <w:right w:w="70" w:type="dxa"/>
            </w:tcMar>
            <w:vAlign w:val="center"/>
          </w:tcPr>
          <w:p w:rsidR="00425395" w:rsidRPr="00AB7575" w:rsidRDefault="00425395" w:rsidP="00AB7575">
            <w:pPr>
              <w:pStyle w:val="Padro"/>
              <w:spacing w:after="0" w:line="240" w:lineRule="auto"/>
              <w:jc w:val="center"/>
              <w:rPr>
                <w:rFonts w:cs="Times New Roman"/>
                <w:sz w:val="20"/>
                <w:szCs w:val="20"/>
              </w:rPr>
            </w:pPr>
            <w:r w:rsidRPr="00AB7575">
              <w:rPr>
                <w:rFonts w:cs="Times New Roman"/>
                <w:sz w:val="20"/>
                <w:szCs w:val="20"/>
              </w:rPr>
              <w:t>28,85</w:t>
            </w:r>
          </w:p>
        </w:tc>
      </w:tr>
      <w:tr w:rsidR="00425395" w:rsidRPr="00931A4D" w:rsidTr="00AB7575">
        <w:trPr>
          <w:cantSplit/>
          <w:trHeight w:val="255"/>
        </w:trPr>
        <w:tc>
          <w:tcPr>
            <w:tcW w:w="2125" w:type="dxa"/>
            <w:tcBorders>
              <w:bottom w:val="nil"/>
            </w:tcBorders>
            <w:shd w:val="clear" w:color="auto" w:fill="auto"/>
            <w:tcMar>
              <w:top w:w="0" w:type="dxa"/>
              <w:left w:w="70" w:type="dxa"/>
              <w:bottom w:w="0" w:type="dxa"/>
              <w:right w:w="70" w:type="dxa"/>
            </w:tcMar>
            <w:vAlign w:val="center"/>
          </w:tcPr>
          <w:p w:rsidR="00425395" w:rsidRPr="00931A4D" w:rsidRDefault="00425395" w:rsidP="003F5244">
            <w:pPr>
              <w:pStyle w:val="Padro"/>
              <w:spacing w:after="0" w:line="240" w:lineRule="auto"/>
              <w:rPr>
                <w:rFonts w:cs="Times New Roman"/>
                <w:sz w:val="20"/>
                <w:szCs w:val="20"/>
                <w:lang w:val="en-US"/>
              </w:rPr>
            </w:pPr>
            <w:proofErr w:type="spellStart"/>
            <w:r w:rsidRPr="00931A4D">
              <w:rPr>
                <w:rFonts w:cs="Times New Roman"/>
                <w:sz w:val="20"/>
                <w:szCs w:val="20"/>
                <w:lang w:val="en-US"/>
              </w:rPr>
              <w:t>Agosto</w:t>
            </w:r>
            <w:proofErr w:type="spellEnd"/>
          </w:p>
        </w:tc>
        <w:tc>
          <w:tcPr>
            <w:tcW w:w="1647" w:type="dxa"/>
            <w:tcBorders>
              <w:bottom w:val="nil"/>
            </w:tcBorders>
            <w:shd w:val="clear" w:color="auto" w:fill="auto"/>
            <w:tcMar>
              <w:top w:w="0" w:type="dxa"/>
              <w:left w:w="70" w:type="dxa"/>
              <w:bottom w:w="0" w:type="dxa"/>
              <w:right w:w="70" w:type="dxa"/>
            </w:tcMar>
            <w:vAlign w:val="center"/>
          </w:tcPr>
          <w:p w:rsidR="00425395" w:rsidRPr="00AB7575" w:rsidRDefault="00425395" w:rsidP="00AB7575">
            <w:pPr>
              <w:jc w:val="center"/>
              <w:rPr>
                <w:sz w:val="20"/>
                <w:szCs w:val="20"/>
              </w:rPr>
            </w:pPr>
            <w:r w:rsidRPr="00AB7575">
              <w:rPr>
                <w:sz w:val="20"/>
                <w:szCs w:val="20"/>
              </w:rPr>
              <w:t>20,92</w:t>
            </w:r>
          </w:p>
        </w:tc>
        <w:tc>
          <w:tcPr>
            <w:tcW w:w="1647" w:type="dxa"/>
            <w:tcBorders>
              <w:bottom w:val="nil"/>
            </w:tcBorders>
            <w:shd w:val="clear" w:color="auto" w:fill="auto"/>
            <w:tcMar>
              <w:top w:w="0" w:type="dxa"/>
              <w:left w:w="70" w:type="dxa"/>
              <w:bottom w:w="0" w:type="dxa"/>
              <w:right w:w="70" w:type="dxa"/>
            </w:tcMar>
            <w:vAlign w:val="center"/>
          </w:tcPr>
          <w:p w:rsidR="00425395" w:rsidRPr="00AB7575" w:rsidRDefault="00425395" w:rsidP="00AB7575">
            <w:pPr>
              <w:jc w:val="center"/>
              <w:rPr>
                <w:sz w:val="20"/>
                <w:szCs w:val="20"/>
              </w:rPr>
            </w:pPr>
            <w:r w:rsidRPr="00AB7575">
              <w:rPr>
                <w:sz w:val="20"/>
                <w:szCs w:val="20"/>
              </w:rPr>
              <w:t>4,62</w:t>
            </w:r>
          </w:p>
        </w:tc>
        <w:tc>
          <w:tcPr>
            <w:tcW w:w="1647" w:type="dxa"/>
            <w:tcBorders>
              <w:bottom w:val="nil"/>
            </w:tcBorders>
            <w:shd w:val="clear" w:color="auto" w:fill="auto"/>
            <w:tcMar>
              <w:top w:w="0" w:type="dxa"/>
              <w:left w:w="70" w:type="dxa"/>
              <w:bottom w:w="0" w:type="dxa"/>
              <w:right w:w="70" w:type="dxa"/>
            </w:tcMar>
            <w:vAlign w:val="center"/>
          </w:tcPr>
          <w:p w:rsidR="00425395" w:rsidRPr="00AB7575" w:rsidRDefault="00425395" w:rsidP="00AB7575">
            <w:pPr>
              <w:jc w:val="center"/>
              <w:rPr>
                <w:sz w:val="20"/>
                <w:szCs w:val="20"/>
              </w:rPr>
            </w:pPr>
            <w:r w:rsidRPr="00AB7575">
              <w:rPr>
                <w:sz w:val="20"/>
                <w:szCs w:val="20"/>
              </w:rPr>
              <w:t>16,30</w:t>
            </w:r>
          </w:p>
        </w:tc>
        <w:tc>
          <w:tcPr>
            <w:tcW w:w="1648" w:type="dxa"/>
            <w:tcBorders>
              <w:bottom w:val="nil"/>
            </w:tcBorders>
            <w:shd w:val="clear" w:color="auto" w:fill="auto"/>
            <w:tcMar>
              <w:top w:w="0" w:type="dxa"/>
              <w:left w:w="70" w:type="dxa"/>
              <w:bottom w:w="0" w:type="dxa"/>
              <w:right w:w="70" w:type="dxa"/>
            </w:tcMar>
            <w:vAlign w:val="center"/>
          </w:tcPr>
          <w:p w:rsidR="00425395" w:rsidRPr="00AB7575" w:rsidRDefault="00425395" w:rsidP="00AB7575">
            <w:pPr>
              <w:jc w:val="center"/>
              <w:rPr>
                <w:sz w:val="20"/>
                <w:szCs w:val="20"/>
              </w:rPr>
            </w:pPr>
            <w:r w:rsidRPr="00AB7575">
              <w:rPr>
                <w:sz w:val="20"/>
                <w:szCs w:val="20"/>
              </w:rPr>
              <w:t>25,53</w:t>
            </w:r>
          </w:p>
        </w:tc>
      </w:tr>
      <w:tr w:rsidR="00AB7575" w:rsidRPr="00C83B82" w:rsidTr="00AB7575">
        <w:trPr>
          <w:cantSplit/>
          <w:trHeight w:val="255"/>
        </w:trPr>
        <w:tc>
          <w:tcPr>
            <w:tcW w:w="2125" w:type="dxa"/>
            <w:tcBorders>
              <w:top w:val="nil"/>
              <w:bottom w:val="nil"/>
            </w:tcBorders>
            <w:shd w:val="clear" w:color="auto" w:fill="auto"/>
            <w:tcMar>
              <w:top w:w="0" w:type="dxa"/>
              <w:left w:w="70" w:type="dxa"/>
              <w:bottom w:w="0" w:type="dxa"/>
              <w:right w:w="70" w:type="dxa"/>
            </w:tcMar>
            <w:vAlign w:val="center"/>
          </w:tcPr>
          <w:p w:rsidR="00AB7575" w:rsidRPr="00931A4D" w:rsidRDefault="00AB7575" w:rsidP="008B6C95">
            <w:pPr>
              <w:pStyle w:val="Padro"/>
              <w:spacing w:after="0" w:line="240" w:lineRule="auto"/>
              <w:rPr>
                <w:rFonts w:cs="Times New Roman"/>
                <w:sz w:val="20"/>
                <w:szCs w:val="20"/>
                <w:lang w:val="en-US"/>
              </w:rPr>
            </w:pPr>
            <w:proofErr w:type="spellStart"/>
            <w:r>
              <w:rPr>
                <w:rFonts w:cs="Times New Roman"/>
                <w:sz w:val="20"/>
                <w:szCs w:val="20"/>
                <w:lang w:val="en-US"/>
              </w:rPr>
              <w:t>Setembro</w:t>
            </w:r>
            <w:proofErr w:type="spellEnd"/>
          </w:p>
        </w:tc>
        <w:tc>
          <w:tcPr>
            <w:tcW w:w="1647" w:type="dxa"/>
            <w:tcBorders>
              <w:top w:val="nil"/>
              <w:bottom w:val="nil"/>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20,27</w:t>
            </w:r>
          </w:p>
        </w:tc>
        <w:tc>
          <w:tcPr>
            <w:tcW w:w="1647" w:type="dxa"/>
            <w:tcBorders>
              <w:top w:val="nil"/>
              <w:bottom w:val="nil"/>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5,12</w:t>
            </w:r>
          </w:p>
        </w:tc>
        <w:tc>
          <w:tcPr>
            <w:tcW w:w="1647" w:type="dxa"/>
            <w:tcBorders>
              <w:top w:val="nil"/>
              <w:bottom w:val="nil"/>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15,14</w:t>
            </w:r>
          </w:p>
        </w:tc>
        <w:tc>
          <w:tcPr>
            <w:tcW w:w="1648" w:type="dxa"/>
            <w:tcBorders>
              <w:top w:val="nil"/>
              <w:bottom w:val="nil"/>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25,39</w:t>
            </w:r>
          </w:p>
        </w:tc>
      </w:tr>
      <w:tr w:rsidR="00AB7575" w:rsidRPr="00931A4D" w:rsidTr="00AB7575">
        <w:trPr>
          <w:cantSplit/>
          <w:trHeight w:val="255"/>
        </w:trPr>
        <w:tc>
          <w:tcPr>
            <w:tcW w:w="2125" w:type="dxa"/>
            <w:tcBorders>
              <w:top w:val="nil"/>
              <w:bottom w:val="single" w:sz="4" w:space="0" w:color="00000A"/>
            </w:tcBorders>
            <w:shd w:val="clear" w:color="auto" w:fill="auto"/>
            <w:tcMar>
              <w:top w:w="0" w:type="dxa"/>
              <w:left w:w="70" w:type="dxa"/>
              <w:bottom w:w="0" w:type="dxa"/>
              <w:right w:w="70" w:type="dxa"/>
            </w:tcMar>
            <w:vAlign w:val="center"/>
          </w:tcPr>
          <w:p w:rsidR="00AB7575" w:rsidRPr="00931A4D" w:rsidRDefault="00AB7575" w:rsidP="003F5244">
            <w:pPr>
              <w:pStyle w:val="Padro"/>
              <w:spacing w:after="0" w:line="240" w:lineRule="auto"/>
              <w:rPr>
                <w:rFonts w:cs="Times New Roman"/>
                <w:sz w:val="20"/>
                <w:szCs w:val="20"/>
                <w:lang w:val="en-US"/>
              </w:rPr>
            </w:pPr>
            <w:proofErr w:type="spellStart"/>
            <w:r>
              <w:rPr>
                <w:rFonts w:cs="Times New Roman"/>
                <w:sz w:val="20"/>
                <w:szCs w:val="20"/>
                <w:lang w:val="en-US"/>
              </w:rPr>
              <w:t>Outubro</w:t>
            </w:r>
            <w:proofErr w:type="spellEnd"/>
          </w:p>
        </w:tc>
        <w:tc>
          <w:tcPr>
            <w:tcW w:w="1647" w:type="dxa"/>
            <w:tcBorders>
              <w:top w:val="nil"/>
              <w:bottom w:val="single" w:sz="4" w:space="0" w:color="00000A"/>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27,18</w:t>
            </w:r>
          </w:p>
        </w:tc>
        <w:tc>
          <w:tcPr>
            <w:tcW w:w="1647" w:type="dxa"/>
            <w:tcBorders>
              <w:top w:val="nil"/>
              <w:bottom w:val="single" w:sz="4" w:space="0" w:color="00000A"/>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10,54</w:t>
            </w:r>
          </w:p>
        </w:tc>
        <w:tc>
          <w:tcPr>
            <w:tcW w:w="1647" w:type="dxa"/>
            <w:tcBorders>
              <w:top w:val="nil"/>
              <w:bottom w:val="single" w:sz="4" w:space="0" w:color="00000A"/>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16,64</w:t>
            </w:r>
          </w:p>
        </w:tc>
        <w:tc>
          <w:tcPr>
            <w:tcW w:w="1648" w:type="dxa"/>
            <w:tcBorders>
              <w:top w:val="nil"/>
              <w:bottom w:val="single" w:sz="4" w:space="0" w:color="00000A"/>
            </w:tcBorders>
            <w:shd w:val="clear" w:color="auto" w:fill="auto"/>
            <w:tcMar>
              <w:top w:w="0" w:type="dxa"/>
              <w:left w:w="70" w:type="dxa"/>
              <w:bottom w:w="0" w:type="dxa"/>
              <w:right w:w="70" w:type="dxa"/>
            </w:tcMar>
            <w:vAlign w:val="center"/>
          </w:tcPr>
          <w:p w:rsidR="00AB7575" w:rsidRPr="00AB7575" w:rsidRDefault="00AB7575" w:rsidP="00AB7575">
            <w:pPr>
              <w:jc w:val="center"/>
              <w:rPr>
                <w:sz w:val="20"/>
                <w:szCs w:val="20"/>
              </w:rPr>
            </w:pPr>
            <w:r w:rsidRPr="00AB7575">
              <w:rPr>
                <w:sz w:val="20"/>
                <w:szCs w:val="20"/>
              </w:rPr>
              <w:t>37,71</w:t>
            </w:r>
          </w:p>
        </w:tc>
      </w:tr>
    </w:tbl>
    <w:p w:rsidR="00425395" w:rsidRDefault="00425395" w:rsidP="003F5244">
      <w:pPr>
        <w:pStyle w:val="Padro"/>
        <w:spacing w:after="0" w:line="240" w:lineRule="auto"/>
        <w:jc w:val="both"/>
      </w:pPr>
      <w:r>
        <w:rPr>
          <w:rFonts w:ascii="Arial" w:hAnsi="Arial" w:cs="Arial"/>
          <w:sz w:val="16"/>
          <w:szCs w:val="16"/>
        </w:rPr>
        <w:t>Fonte: Elaboração própria a partir de dados do Departamento de Planejamento e Desenvolvimento de Comércio Exterior (DEPLA), 2012.</w:t>
      </w:r>
      <w:r>
        <w:rPr>
          <w:rFonts w:ascii="Arial" w:hAnsi="Arial" w:cs="Arial"/>
          <w:b/>
          <w:sz w:val="18"/>
          <w:szCs w:val="18"/>
        </w:rPr>
        <w:t xml:space="preserve"> </w:t>
      </w:r>
    </w:p>
    <w:p w:rsidR="000577E1" w:rsidRDefault="000577E1" w:rsidP="003F5244">
      <w:pPr>
        <w:pStyle w:val="Padro"/>
        <w:spacing w:after="0" w:line="240" w:lineRule="auto"/>
        <w:jc w:val="center"/>
        <w:rPr>
          <w:rFonts w:ascii="Arial" w:hAnsi="Arial" w:cs="Arial"/>
          <w:b/>
          <w:sz w:val="18"/>
          <w:szCs w:val="18"/>
        </w:rPr>
      </w:pPr>
    </w:p>
    <w:p w:rsidR="00425395" w:rsidRDefault="00425395" w:rsidP="003F5244">
      <w:pPr>
        <w:pStyle w:val="Padro"/>
        <w:spacing w:after="0" w:line="240" w:lineRule="auto"/>
        <w:jc w:val="center"/>
        <w:rPr>
          <w:rFonts w:ascii="Arial" w:hAnsi="Arial" w:cs="Arial"/>
          <w:b/>
          <w:sz w:val="18"/>
          <w:szCs w:val="18"/>
        </w:rPr>
      </w:pPr>
      <w:r>
        <w:rPr>
          <w:rFonts w:ascii="Arial" w:hAnsi="Arial" w:cs="Arial"/>
          <w:b/>
          <w:sz w:val="18"/>
          <w:szCs w:val="18"/>
        </w:rPr>
        <w:t xml:space="preserve">GRÁFICO </w:t>
      </w:r>
      <w:proofErr w:type="gramStart"/>
      <w:r>
        <w:rPr>
          <w:rFonts w:ascii="Arial" w:hAnsi="Arial" w:cs="Arial"/>
          <w:b/>
          <w:sz w:val="18"/>
          <w:szCs w:val="18"/>
        </w:rPr>
        <w:t>1</w:t>
      </w:r>
      <w:proofErr w:type="gramEnd"/>
    </w:p>
    <w:p w:rsidR="00425395" w:rsidRDefault="00AB7575" w:rsidP="003F5244">
      <w:pPr>
        <w:pStyle w:val="Padro"/>
        <w:spacing w:after="0" w:line="240" w:lineRule="auto"/>
        <w:jc w:val="center"/>
      </w:pPr>
      <w:r w:rsidRPr="00AB7575">
        <w:drawing>
          <wp:inline distT="0" distB="0" distL="0" distR="0">
            <wp:extent cx="5400040" cy="1964373"/>
            <wp:effectExtent l="19050" t="0" r="1016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5395" w:rsidRDefault="00425395" w:rsidP="003F5244">
      <w:pPr>
        <w:pStyle w:val="Padro"/>
        <w:spacing w:after="0" w:line="240" w:lineRule="auto"/>
        <w:jc w:val="both"/>
      </w:pPr>
      <w:r>
        <w:rPr>
          <w:rFonts w:ascii="Arial" w:hAnsi="Arial" w:cs="Arial"/>
          <w:sz w:val="16"/>
          <w:szCs w:val="16"/>
        </w:rPr>
        <w:lastRenderedPageBreak/>
        <w:t>Fonte: Elaboração própria a partir de dados do Departamento de Planejamento e Desenvolvimento de Comércio Exterior (DEPLA), 2012.</w:t>
      </w:r>
    </w:p>
    <w:p w:rsidR="003F5244" w:rsidRDefault="003F5244" w:rsidP="003F5244">
      <w:pPr>
        <w:pStyle w:val="Padro"/>
        <w:spacing w:after="0" w:line="240" w:lineRule="auto"/>
        <w:jc w:val="center"/>
        <w:rPr>
          <w:rFonts w:ascii="Arial" w:hAnsi="Arial" w:cs="Arial"/>
          <w:b/>
          <w:sz w:val="18"/>
          <w:szCs w:val="18"/>
        </w:rPr>
      </w:pPr>
    </w:p>
    <w:p w:rsidR="00425395" w:rsidRDefault="00425395" w:rsidP="003F5244">
      <w:pPr>
        <w:pStyle w:val="Padro"/>
        <w:spacing w:after="0" w:line="240" w:lineRule="auto"/>
        <w:jc w:val="center"/>
        <w:rPr>
          <w:rFonts w:ascii="Arial" w:hAnsi="Arial" w:cs="Arial"/>
          <w:b/>
          <w:sz w:val="18"/>
          <w:szCs w:val="18"/>
        </w:rPr>
      </w:pPr>
      <w:r>
        <w:rPr>
          <w:rFonts w:ascii="Arial" w:hAnsi="Arial" w:cs="Arial"/>
          <w:b/>
          <w:sz w:val="18"/>
          <w:szCs w:val="18"/>
        </w:rPr>
        <w:t xml:space="preserve">GRÁFICO </w:t>
      </w:r>
      <w:proofErr w:type="gramStart"/>
      <w:r>
        <w:rPr>
          <w:rFonts w:ascii="Arial" w:hAnsi="Arial" w:cs="Arial"/>
          <w:b/>
          <w:sz w:val="18"/>
          <w:szCs w:val="18"/>
        </w:rPr>
        <w:t>2</w:t>
      </w:r>
      <w:proofErr w:type="gramEnd"/>
    </w:p>
    <w:p w:rsidR="00425395" w:rsidRDefault="00AB7575" w:rsidP="003F5244">
      <w:pPr>
        <w:pStyle w:val="Padro"/>
        <w:spacing w:after="0" w:line="240" w:lineRule="auto"/>
        <w:jc w:val="center"/>
      </w:pPr>
      <w:r w:rsidRPr="00AB7575">
        <w:drawing>
          <wp:inline distT="0" distB="0" distL="0" distR="0">
            <wp:extent cx="5400040" cy="1946654"/>
            <wp:effectExtent l="19050" t="0" r="1016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5395" w:rsidRDefault="00425395" w:rsidP="003F5244">
      <w:pPr>
        <w:pStyle w:val="Corpodetexto"/>
        <w:tabs>
          <w:tab w:val="left" w:pos="1260"/>
          <w:tab w:val="left" w:pos="1620"/>
        </w:tabs>
        <w:spacing w:after="0"/>
        <w:jc w:val="both"/>
      </w:pPr>
      <w:r>
        <w:rPr>
          <w:rFonts w:ascii="Arial" w:hAnsi="Arial" w:cs="Arial"/>
          <w:sz w:val="16"/>
          <w:szCs w:val="16"/>
        </w:rPr>
        <w:t>Fonte: Elaboração própria a partir de dados do Departamento de Planejamento e Desenvolvimento de Comércio Exterior (DEPLA), 2012.</w:t>
      </w:r>
    </w:p>
    <w:p w:rsidR="003F5244" w:rsidRDefault="003F5244" w:rsidP="003F5244">
      <w:pPr>
        <w:pStyle w:val="Corpodetexto"/>
        <w:tabs>
          <w:tab w:val="left" w:pos="1260"/>
          <w:tab w:val="left" w:pos="1620"/>
        </w:tabs>
        <w:spacing w:after="0"/>
        <w:jc w:val="center"/>
        <w:rPr>
          <w:rFonts w:ascii="Arial" w:hAnsi="Arial" w:cs="Arial"/>
          <w:b/>
          <w:sz w:val="18"/>
          <w:szCs w:val="18"/>
        </w:rPr>
      </w:pPr>
    </w:p>
    <w:p w:rsidR="003F5244" w:rsidRDefault="003F5244" w:rsidP="003F5244">
      <w:pPr>
        <w:pStyle w:val="Corpodetexto"/>
        <w:tabs>
          <w:tab w:val="left" w:pos="1260"/>
          <w:tab w:val="left" w:pos="1620"/>
        </w:tabs>
        <w:spacing w:after="0"/>
        <w:jc w:val="center"/>
        <w:rPr>
          <w:rFonts w:ascii="Arial" w:hAnsi="Arial" w:cs="Arial"/>
          <w:b/>
          <w:sz w:val="18"/>
          <w:szCs w:val="18"/>
        </w:rPr>
      </w:pPr>
    </w:p>
    <w:p w:rsidR="00425395" w:rsidRDefault="00425395" w:rsidP="003F5244">
      <w:pPr>
        <w:pStyle w:val="Corpodetexto"/>
        <w:tabs>
          <w:tab w:val="left" w:pos="1260"/>
          <w:tab w:val="left" w:pos="1620"/>
        </w:tabs>
        <w:spacing w:after="0"/>
        <w:jc w:val="center"/>
        <w:rPr>
          <w:rFonts w:ascii="Arial" w:hAnsi="Arial" w:cs="Arial"/>
          <w:b/>
          <w:sz w:val="18"/>
          <w:szCs w:val="18"/>
        </w:rPr>
      </w:pPr>
      <w:r>
        <w:rPr>
          <w:rFonts w:ascii="Arial" w:hAnsi="Arial" w:cs="Arial"/>
          <w:b/>
          <w:sz w:val="18"/>
          <w:szCs w:val="18"/>
        </w:rPr>
        <w:t xml:space="preserve">GRÁFICO </w:t>
      </w:r>
      <w:proofErr w:type="gramStart"/>
      <w:r>
        <w:rPr>
          <w:rFonts w:ascii="Arial" w:hAnsi="Arial" w:cs="Arial"/>
          <w:b/>
          <w:sz w:val="18"/>
          <w:szCs w:val="18"/>
        </w:rPr>
        <w:t>3</w:t>
      </w:r>
      <w:proofErr w:type="gramEnd"/>
    </w:p>
    <w:p w:rsidR="00425395" w:rsidRDefault="00AB7575" w:rsidP="003F5244">
      <w:pPr>
        <w:pStyle w:val="Corpodetexto"/>
        <w:tabs>
          <w:tab w:val="left" w:pos="1260"/>
          <w:tab w:val="left" w:pos="1620"/>
        </w:tabs>
        <w:spacing w:after="0"/>
        <w:jc w:val="center"/>
      </w:pPr>
      <w:r w:rsidRPr="00AB7575">
        <w:drawing>
          <wp:inline distT="0" distB="0" distL="0" distR="0">
            <wp:extent cx="5400040" cy="2382910"/>
            <wp:effectExtent l="19050" t="0" r="1016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5395" w:rsidRDefault="00425395" w:rsidP="003F5244">
      <w:pPr>
        <w:pStyle w:val="Corpodetexto"/>
        <w:tabs>
          <w:tab w:val="left" w:pos="1260"/>
          <w:tab w:val="left" w:pos="1620"/>
        </w:tabs>
        <w:spacing w:after="0"/>
        <w:jc w:val="both"/>
      </w:pPr>
      <w:r>
        <w:rPr>
          <w:rFonts w:ascii="Arial" w:hAnsi="Arial" w:cs="Arial"/>
          <w:sz w:val="16"/>
          <w:szCs w:val="16"/>
        </w:rPr>
        <w:t>Fonte: Elaboração própria a partir de dados do Departamento de Planejamento e Desenvolvimento de Comércio Exterior (DEPLA), 2012.</w:t>
      </w:r>
    </w:p>
    <w:p w:rsidR="003F5244" w:rsidRDefault="003F5244" w:rsidP="003F5244">
      <w:pPr>
        <w:pStyle w:val="Corpodetexto"/>
        <w:tabs>
          <w:tab w:val="left" w:pos="1260"/>
          <w:tab w:val="left" w:pos="1620"/>
        </w:tabs>
        <w:spacing w:after="0"/>
        <w:jc w:val="center"/>
        <w:rPr>
          <w:rFonts w:ascii="Arial" w:hAnsi="Arial" w:cs="Arial"/>
          <w:b/>
          <w:sz w:val="18"/>
          <w:szCs w:val="18"/>
        </w:rPr>
      </w:pPr>
    </w:p>
    <w:p w:rsidR="003F5244" w:rsidRDefault="003F5244" w:rsidP="003F5244">
      <w:pPr>
        <w:pStyle w:val="Corpodetexto"/>
        <w:tabs>
          <w:tab w:val="left" w:pos="1260"/>
          <w:tab w:val="left" w:pos="1620"/>
        </w:tabs>
        <w:spacing w:after="0"/>
        <w:jc w:val="center"/>
        <w:rPr>
          <w:rFonts w:ascii="Arial" w:hAnsi="Arial" w:cs="Arial"/>
          <w:b/>
          <w:sz w:val="18"/>
          <w:szCs w:val="18"/>
        </w:rPr>
      </w:pPr>
    </w:p>
    <w:p w:rsidR="00425395" w:rsidRDefault="00425395" w:rsidP="003F5244">
      <w:pPr>
        <w:pStyle w:val="Corpodetexto"/>
        <w:tabs>
          <w:tab w:val="left" w:pos="1260"/>
          <w:tab w:val="left" w:pos="1620"/>
        </w:tabs>
        <w:spacing w:after="0"/>
        <w:jc w:val="center"/>
      </w:pPr>
      <w:r>
        <w:rPr>
          <w:rFonts w:ascii="Arial" w:hAnsi="Arial" w:cs="Arial"/>
          <w:b/>
          <w:sz w:val="18"/>
          <w:szCs w:val="18"/>
        </w:rPr>
        <w:t xml:space="preserve">GRÁFICO </w:t>
      </w:r>
      <w:proofErr w:type="gramStart"/>
      <w:r>
        <w:rPr>
          <w:rFonts w:ascii="Arial" w:hAnsi="Arial" w:cs="Arial"/>
          <w:b/>
          <w:sz w:val="18"/>
          <w:szCs w:val="18"/>
        </w:rPr>
        <w:t>4</w:t>
      </w:r>
      <w:proofErr w:type="gramEnd"/>
    </w:p>
    <w:p w:rsidR="00425395" w:rsidRDefault="00AB7575" w:rsidP="003F5244">
      <w:pPr>
        <w:pStyle w:val="Corpodetexto"/>
        <w:tabs>
          <w:tab w:val="left" w:pos="1260"/>
          <w:tab w:val="left" w:pos="1620"/>
        </w:tabs>
        <w:spacing w:after="0"/>
        <w:jc w:val="both"/>
      </w:pPr>
      <w:r w:rsidRPr="00AB7575">
        <w:rPr>
          <w:rFonts w:ascii="Arial" w:hAnsi="Arial" w:cs="Arial"/>
          <w:sz w:val="16"/>
          <w:szCs w:val="16"/>
        </w:rPr>
        <w:drawing>
          <wp:inline distT="0" distB="0" distL="0" distR="0">
            <wp:extent cx="5400040" cy="2070076"/>
            <wp:effectExtent l="19050" t="0" r="10160" b="6374"/>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25395">
        <w:rPr>
          <w:rFonts w:ascii="Arial" w:hAnsi="Arial" w:cs="Arial"/>
          <w:sz w:val="16"/>
          <w:szCs w:val="16"/>
        </w:rPr>
        <w:t>Fonte: Elaboração própria a partir de dados do Departamento de Planejamento e Desenvolvimento de Comércio Exterior (DEPLA), 2012.</w:t>
      </w:r>
    </w:p>
    <w:p w:rsidR="00425395" w:rsidRDefault="00425395" w:rsidP="003F5244">
      <w:pPr>
        <w:pStyle w:val="Corpodetexto"/>
        <w:tabs>
          <w:tab w:val="left" w:pos="1260"/>
          <w:tab w:val="left" w:pos="1620"/>
        </w:tabs>
        <w:spacing w:after="0"/>
        <w:jc w:val="both"/>
      </w:pPr>
    </w:p>
    <w:p w:rsidR="003F5244" w:rsidRDefault="003F5244" w:rsidP="003F5244">
      <w:pPr>
        <w:pStyle w:val="Corpodetexto"/>
        <w:tabs>
          <w:tab w:val="left" w:pos="1260"/>
          <w:tab w:val="left" w:pos="1620"/>
        </w:tabs>
        <w:spacing w:after="0"/>
        <w:jc w:val="center"/>
        <w:rPr>
          <w:rFonts w:ascii="Arial" w:hAnsi="Arial" w:cs="Arial"/>
          <w:b/>
          <w:sz w:val="18"/>
          <w:szCs w:val="18"/>
        </w:rPr>
      </w:pPr>
    </w:p>
    <w:p w:rsidR="003F5244" w:rsidRDefault="003F5244" w:rsidP="003F5244">
      <w:pPr>
        <w:pStyle w:val="Corpodetexto"/>
        <w:tabs>
          <w:tab w:val="left" w:pos="1260"/>
          <w:tab w:val="left" w:pos="1620"/>
        </w:tabs>
        <w:spacing w:after="0"/>
        <w:rPr>
          <w:rFonts w:ascii="Arial" w:hAnsi="Arial" w:cs="Arial"/>
          <w:b/>
          <w:sz w:val="18"/>
          <w:szCs w:val="18"/>
        </w:rPr>
      </w:pPr>
    </w:p>
    <w:p w:rsidR="003F5244" w:rsidRDefault="003F5244" w:rsidP="003F5244">
      <w:pPr>
        <w:pStyle w:val="Corpodetexto"/>
        <w:tabs>
          <w:tab w:val="left" w:pos="1260"/>
          <w:tab w:val="left" w:pos="1620"/>
        </w:tabs>
        <w:spacing w:after="0"/>
        <w:jc w:val="center"/>
        <w:rPr>
          <w:rFonts w:ascii="Arial" w:hAnsi="Arial" w:cs="Arial"/>
          <w:b/>
          <w:sz w:val="18"/>
          <w:szCs w:val="18"/>
        </w:rPr>
      </w:pPr>
    </w:p>
    <w:p w:rsidR="00425395" w:rsidRDefault="00425395" w:rsidP="003F5244">
      <w:pPr>
        <w:pStyle w:val="Corpodetexto"/>
        <w:tabs>
          <w:tab w:val="left" w:pos="1260"/>
          <w:tab w:val="left" w:pos="1620"/>
        </w:tabs>
        <w:spacing w:after="0"/>
        <w:jc w:val="center"/>
      </w:pPr>
      <w:r>
        <w:rPr>
          <w:rFonts w:ascii="Arial" w:hAnsi="Arial" w:cs="Arial"/>
          <w:b/>
          <w:sz w:val="18"/>
          <w:szCs w:val="18"/>
        </w:rPr>
        <w:t xml:space="preserve">GRÁFICO </w:t>
      </w:r>
      <w:proofErr w:type="gramStart"/>
      <w:r>
        <w:rPr>
          <w:rFonts w:ascii="Arial" w:hAnsi="Arial" w:cs="Arial"/>
          <w:b/>
          <w:sz w:val="18"/>
          <w:szCs w:val="18"/>
        </w:rPr>
        <w:t>5</w:t>
      </w:r>
      <w:proofErr w:type="gramEnd"/>
    </w:p>
    <w:p w:rsidR="00425395" w:rsidRDefault="00AB7575" w:rsidP="003F5244">
      <w:pPr>
        <w:pStyle w:val="Corpodetexto"/>
        <w:tabs>
          <w:tab w:val="left" w:pos="1260"/>
          <w:tab w:val="left" w:pos="1620"/>
        </w:tabs>
        <w:spacing w:after="0"/>
        <w:jc w:val="both"/>
      </w:pPr>
      <w:r w:rsidRPr="00AB7575">
        <w:rPr>
          <w:rFonts w:ascii="Arial" w:hAnsi="Arial" w:cs="Arial"/>
          <w:sz w:val="16"/>
          <w:szCs w:val="16"/>
        </w:rPr>
        <w:drawing>
          <wp:inline distT="0" distB="0" distL="0" distR="0">
            <wp:extent cx="5400040" cy="2690297"/>
            <wp:effectExtent l="19050" t="0" r="1016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25395">
        <w:rPr>
          <w:rFonts w:ascii="Arial" w:hAnsi="Arial" w:cs="Arial"/>
          <w:sz w:val="16"/>
          <w:szCs w:val="16"/>
        </w:rPr>
        <w:t>Fonte: Elaboração própria a partir de dados do Departamento de Planejamento e Desenvolvimento de Comércio Exterior (DEPLA), 2012.</w:t>
      </w:r>
    </w:p>
    <w:p w:rsidR="00CB46B6" w:rsidRPr="00425395" w:rsidRDefault="00CB46B6" w:rsidP="00425395"/>
    <w:sectPr w:rsidR="00CB46B6" w:rsidRPr="00425395" w:rsidSect="001A4066">
      <w:headerReference w:type="default" r:id="rId13"/>
      <w:footerReference w:type="even" r:id="rId14"/>
      <w:footerReference w:type="default" r:id="rId15"/>
      <w:pgSz w:w="11906" w:h="16838" w:code="9"/>
      <w:pgMar w:top="1417" w:right="1701" w:bottom="1417"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8F" w:rsidRDefault="00960D8F">
      <w:r>
        <w:separator/>
      </w:r>
    </w:p>
  </w:endnote>
  <w:endnote w:type="continuationSeparator" w:id="0">
    <w:p w:rsidR="00960D8F" w:rsidRDefault="00960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00" w:rsidRDefault="00477184" w:rsidP="00D81DA0">
    <w:pPr>
      <w:pStyle w:val="Rodap"/>
      <w:framePr w:wrap="around" w:vAnchor="text" w:hAnchor="margin" w:xAlign="center" w:y="1"/>
      <w:rPr>
        <w:rStyle w:val="Nmerodepgina"/>
      </w:rPr>
    </w:pPr>
    <w:r>
      <w:rPr>
        <w:rStyle w:val="Nmerodepgina"/>
      </w:rPr>
      <w:fldChar w:fldCharType="begin"/>
    </w:r>
    <w:r w:rsidR="00856B00">
      <w:rPr>
        <w:rStyle w:val="Nmerodepgina"/>
      </w:rPr>
      <w:instrText xml:space="preserve">PAGE  </w:instrText>
    </w:r>
    <w:r>
      <w:rPr>
        <w:rStyle w:val="Nmerodepgina"/>
      </w:rPr>
      <w:fldChar w:fldCharType="end"/>
    </w:r>
  </w:p>
  <w:p w:rsidR="00856B00" w:rsidRDefault="00856B0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14" w:rsidRDefault="00477184">
    <w:pPr>
      <w:pStyle w:val="Rodap"/>
      <w:jc w:val="right"/>
    </w:pPr>
    <w:fldSimple w:instr=" PAGE   \* MERGEFORMAT ">
      <w:r w:rsidR="002F58D5">
        <w:rPr>
          <w:noProof/>
        </w:rPr>
        <w:t>2</w:t>
      </w:r>
    </w:fldSimple>
  </w:p>
  <w:p w:rsidR="007D7E14" w:rsidRDefault="007D7E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8F" w:rsidRDefault="00960D8F">
      <w:r>
        <w:separator/>
      </w:r>
    </w:p>
  </w:footnote>
  <w:footnote w:type="continuationSeparator" w:id="0">
    <w:p w:rsidR="00960D8F" w:rsidRDefault="00960D8F">
      <w:r>
        <w:continuationSeparator/>
      </w:r>
    </w:p>
  </w:footnote>
  <w:footnote w:id="1">
    <w:p w:rsidR="00425395" w:rsidRDefault="00425395" w:rsidP="00425395">
      <w:pPr>
        <w:pStyle w:val="Padro"/>
        <w:jc w:val="both"/>
      </w:pPr>
      <w:r>
        <w:rPr>
          <w:sz w:val="20"/>
          <w:szCs w:val="20"/>
        </w:rPr>
        <w:t xml:space="preserve">Constituída pelos municípios de: Alfredo Vasconcelos, Antonio Carlos, Barbacena, Barroso, Capela Nova, </w:t>
      </w:r>
      <w:proofErr w:type="spellStart"/>
      <w:r>
        <w:rPr>
          <w:sz w:val="20"/>
          <w:szCs w:val="20"/>
        </w:rPr>
        <w:t>Caranaíba</w:t>
      </w:r>
      <w:proofErr w:type="spellEnd"/>
      <w:r>
        <w:rPr>
          <w:sz w:val="20"/>
          <w:szCs w:val="20"/>
        </w:rPr>
        <w:t xml:space="preserve">, </w:t>
      </w:r>
      <w:proofErr w:type="spellStart"/>
      <w:r>
        <w:rPr>
          <w:sz w:val="20"/>
          <w:szCs w:val="20"/>
        </w:rPr>
        <w:t>Carandaí</w:t>
      </w:r>
      <w:proofErr w:type="spellEnd"/>
      <w:r>
        <w:rPr>
          <w:sz w:val="20"/>
          <w:szCs w:val="20"/>
        </w:rPr>
        <w:t xml:space="preserve">, Desterro de Melo, Carrancas, Conceição da Barra de Minas, Coronel Xavier Chaves, Dores de Campos, </w:t>
      </w:r>
      <w:proofErr w:type="spellStart"/>
      <w:r>
        <w:rPr>
          <w:sz w:val="20"/>
          <w:szCs w:val="20"/>
        </w:rPr>
        <w:t>Ibertioga</w:t>
      </w:r>
      <w:proofErr w:type="spellEnd"/>
      <w:r>
        <w:rPr>
          <w:sz w:val="20"/>
          <w:szCs w:val="20"/>
        </w:rPr>
        <w:t xml:space="preserve">, </w:t>
      </w:r>
      <w:proofErr w:type="spellStart"/>
      <w:r>
        <w:rPr>
          <w:sz w:val="20"/>
          <w:szCs w:val="20"/>
        </w:rPr>
        <w:t>Ijaci</w:t>
      </w:r>
      <w:proofErr w:type="spellEnd"/>
      <w:r>
        <w:rPr>
          <w:sz w:val="20"/>
          <w:szCs w:val="20"/>
        </w:rPr>
        <w:t xml:space="preserve">, </w:t>
      </w:r>
      <w:proofErr w:type="spellStart"/>
      <w:r>
        <w:rPr>
          <w:sz w:val="20"/>
          <w:szCs w:val="20"/>
        </w:rPr>
        <w:t>Ingaí</w:t>
      </w:r>
      <w:proofErr w:type="spellEnd"/>
      <w:r>
        <w:rPr>
          <w:sz w:val="20"/>
          <w:szCs w:val="20"/>
        </w:rPr>
        <w:t xml:space="preserve">, </w:t>
      </w:r>
      <w:proofErr w:type="spellStart"/>
      <w:r>
        <w:rPr>
          <w:sz w:val="20"/>
          <w:szCs w:val="20"/>
        </w:rPr>
        <w:t>Itumirim</w:t>
      </w:r>
      <w:proofErr w:type="spellEnd"/>
      <w:r>
        <w:rPr>
          <w:sz w:val="20"/>
          <w:szCs w:val="20"/>
        </w:rPr>
        <w:t xml:space="preserve">, </w:t>
      </w:r>
      <w:proofErr w:type="spellStart"/>
      <w:r>
        <w:rPr>
          <w:sz w:val="20"/>
          <w:szCs w:val="20"/>
        </w:rPr>
        <w:t>Itutinga</w:t>
      </w:r>
      <w:proofErr w:type="spellEnd"/>
      <w:r>
        <w:rPr>
          <w:sz w:val="20"/>
          <w:szCs w:val="20"/>
        </w:rPr>
        <w:t xml:space="preserve">, Lagoa Dourada, Lavras, Luminárias, Madre de Deus de Minas, Nazareno, Nepomuceno, Piedade do Rio Grande, Prados, Resende da Costa, </w:t>
      </w:r>
      <w:proofErr w:type="spellStart"/>
      <w:r>
        <w:rPr>
          <w:sz w:val="20"/>
          <w:szCs w:val="20"/>
        </w:rPr>
        <w:t>Ressaquinha</w:t>
      </w:r>
      <w:proofErr w:type="spellEnd"/>
      <w:r>
        <w:rPr>
          <w:sz w:val="20"/>
          <w:szCs w:val="20"/>
        </w:rPr>
        <w:t xml:space="preserve">, Ribeirão Vermelho, </w:t>
      </w:r>
      <w:proofErr w:type="spellStart"/>
      <w:r>
        <w:rPr>
          <w:sz w:val="20"/>
          <w:szCs w:val="20"/>
        </w:rPr>
        <w:t>Ritápolis</w:t>
      </w:r>
      <w:proofErr w:type="spellEnd"/>
      <w:r>
        <w:rPr>
          <w:sz w:val="20"/>
          <w:szCs w:val="20"/>
        </w:rPr>
        <w:t xml:space="preserve">, Santa Bárbaro do tugúrio, Santa Cruz de Minas, Santana do </w:t>
      </w:r>
      <w:proofErr w:type="spellStart"/>
      <w:r>
        <w:rPr>
          <w:sz w:val="20"/>
          <w:szCs w:val="20"/>
        </w:rPr>
        <w:t>Garambéu</w:t>
      </w:r>
      <w:proofErr w:type="spellEnd"/>
      <w:r>
        <w:rPr>
          <w:sz w:val="20"/>
          <w:szCs w:val="20"/>
        </w:rPr>
        <w:t xml:space="preserve">, São João </w:t>
      </w:r>
      <w:proofErr w:type="spellStart"/>
      <w:proofErr w:type="gramStart"/>
      <w:r>
        <w:rPr>
          <w:sz w:val="20"/>
          <w:szCs w:val="20"/>
        </w:rPr>
        <w:t>del</w:t>
      </w:r>
      <w:proofErr w:type="spellEnd"/>
      <w:proofErr w:type="gramEnd"/>
      <w:r>
        <w:rPr>
          <w:sz w:val="20"/>
          <w:szCs w:val="20"/>
        </w:rPr>
        <w:t xml:space="preserve"> Rei , São </w:t>
      </w:r>
      <w:proofErr w:type="spellStart"/>
      <w:r>
        <w:rPr>
          <w:sz w:val="20"/>
          <w:szCs w:val="20"/>
        </w:rPr>
        <w:t>tiago</w:t>
      </w:r>
      <w:proofErr w:type="spellEnd"/>
      <w:r>
        <w:rPr>
          <w:sz w:val="20"/>
          <w:szCs w:val="20"/>
        </w:rPr>
        <w:t xml:space="preserve">, Senhora dos Remédios, Tiradentes. </w:t>
      </w:r>
    </w:p>
    <w:p w:rsidR="00425395" w:rsidRDefault="00425395" w:rsidP="00425395">
      <w:pPr>
        <w:pStyle w:val="Notaderodap"/>
        <w:ind w:left="0"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406"/>
      <w:gridCol w:w="6314"/>
    </w:tblGrid>
    <w:tr w:rsidR="00856B00" w:rsidRPr="007D7E14" w:rsidTr="007D7E14">
      <w:tc>
        <w:tcPr>
          <w:tcW w:w="1728" w:type="dxa"/>
          <w:vAlign w:val="center"/>
        </w:tcPr>
        <w:p w:rsidR="00856B00" w:rsidRPr="007D7E14" w:rsidRDefault="0037618E" w:rsidP="007D7E14">
          <w:pPr>
            <w:pStyle w:val="Cabealho"/>
            <w:jc w:val="center"/>
            <w:rPr>
              <w:rFonts w:ascii="Arial" w:hAnsi="Arial" w:cs="Arial"/>
            </w:rPr>
          </w:pPr>
          <w:r>
            <w:rPr>
              <w:rFonts w:ascii="Arial" w:hAnsi="Arial" w:cs="Arial"/>
              <w:noProof/>
            </w:rPr>
            <w:drawing>
              <wp:inline distT="0" distB="0" distL="0" distR="0">
                <wp:extent cx="1371600" cy="781050"/>
                <wp:effectExtent l="19050" t="0" r="0" b="0"/>
                <wp:docPr id="1" name="Imagem 1" descr="logo_ufs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fsj1"/>
                        <pic:cNvPicPr>
                          <a:picLocks noChangeAspect="1" noChangeArrowheads="1"/>
                        </pic:cNvPicPr>
                      </pic:nvPicPr>
                      <pic:blipFill>
                        <a:blip r:embed="rId1"/>
                        <a:srcRect/>
                        <a:stretch>
                          <a:fillRect/>
                        </a:stretch>
                      </pic:blipFill>
                      <pic:spPr bwMode="auto">
                        <a:xfrm>
                          <a:off x="0" y="0"/>
                          <a:ext cx="1371600" cy="781050"/>
                        </a:xfrm>
                        <a:prstGeom prst="rect">
                          <a:avLst/>
                        </a:prstGeom>
                        <a:noFill/>
                        <a:ln w="9525">
                          <a:noFill/>
                          <a:miter lim="800000"/>
                          <a:headEnd/>
                          <a:tailEnd/>
                        </a:ln>
                      </pic:spPr>
                    </pic:pic>
                  </a:graphicData>
                </a:graphic>
              </wp:inline>
            </w:drawing>
          </w:r>
        </w:p>
      </w:tc>
      <w:tc>
        <w:tcPr>
          <w:tcW w:w="6916" w:type="dxa"/>
          <w:vAlign w:val="center"/>
        </w:tcPr>
        <w:p w:rsidR="00856B00" w:rsidRPr="007D7E14" w:rsidRDefault="00856B00" w:rsidP="007D7E14">
          <w:pPr>
            <w:pStyle w:val="Ttulo"/>
            <w:snapToGrid w:val="0"/>
            <w:jc w:val="right"/>
            <w:rPr>
              <w:sz w:val="16"/>
            </w:rPr>
          </w:pPr>
          <w:r w:rsidRPr="007D7E14">
            <w:rPr>
              <w:sz w:val="16"/>
            </w:rPr>
            <w:t>UNIVERSIDADE FEDERAL DE SÃO JOÃO DEL-REI – UFSJ</w:t>
          </w:r>
        </w:p>
        <w:p w:rsidR="00856B00" w:rsidRPr="007D7E14" w:rsidRDefault="00856B00" w:rsidP="007D7E14">
          <w:pPr>
            <w:jc w:val="right"/>
            <w:rPr>
              <w:rFonts w:ascii="Arial" w:hAnsi="Arial"/>
              <w:caps/>
              <w:sz w:val="16"/>
            </w:rPr>
          </w:pPr>
          <w:r w:rsidRPr="007D7E14">
            <w:rPr>
              <w:rFonts w:ascii="Arial" w:hAnsi="Arial"/>
              <w:caps/>
              <w:sz w:val="16"/>
            </w:rPr>
            <w:t>Instituída pela Lei n</w:t>
          </w:r>
          <w:r w:rsidRPr="007D7E14">
            <w:rPr>
              <w:rFonts w:ascii="Arial" w:hAnsi="Arial"/>
              <w:caps/>
              <w:sz w:val="16"/>
              <w:u w:val="single"/>
              <w:vertAlign w:val="superscript"/>
            </w:rPr>
            <w:t>o</w:t>
          </w:r>
          <w:r w:rsidRPr="007D7E14">
            <w:rPr>
              <w:rFonts w:ascii="Arial" w:hAnsi="Arial"/>
              <w:caps/>
              <w:sz w:val="16"/>
              <w:vertAlign w:val="superscript"/>
            </w:rPr>
            <w:t xml:space="preserve"> </w:t>
          </w:r>
          <w:r w:rsidRPr="007D7E14">
            <w:rPr>
              <w:rFonts w:ascii="Arial" w:hAnsi="Arial"/>
              <w:caps/>
              <w:sz w:val="16"/>
            </w:rPr>
            <w:t xml:space="preserve">10.425, de 19/04/2002 – </w:t>
          </w:r>
          <w:proofErr w:type="spellStart"/>
          <w:r w:rsidRPr="007D7E14">
            <w:rPr>
              <w:rFonts w:ascii="Arial" w:hAnsi="Arial"/>
              <w:caps/>
              <w:sz w:val="16"/>
            </w:rPr>
            <w:t>D.O.U.</w:t>
          </w:r>
          <w:proofErr w:type="spellEnd"/>
          <w:r w:rsidRPr="007D7E14">
            <w:rPr>
              <w:rFonts w:ascii="Arial" w:hAnsi="Arial"/>
              <w:caps/>
              <w:sz w:val="16"/>
            </w:rPr>
            <w:t xml:space="preserve"> DE 22/04/2002</w:t>
          </w:r>
        </w:p>
        <w:p w:rsidR="00856B00" w:rsidRPr="007D7E14" w:rsidRDefault="00856B00" w:rsidP="007D7E14">
          <w:pPr>
            <w:jc w:val="right"/>
            <w:rPr>
              <w:rFonts w:ascii="Arial" w:hAnsi="Arial" w:cs="Arial"/>
              <w:caps/>
              <w:sz w:val="16"/>
              <w:szCs w:val="16"/>
            </w:rPr>
          </w:pPr>
          <w:r w:rsidRPr="007D7E14">
            <w:rPr>
              <w:rFonts w:ascii="Arial" w:hAnsi="Arial" w:cs="Arial"/>
              <w:sz w:val="16"/>
              <w:szCs w:val="16"/>
            </w:rPr>
            <w:t>PRÓ-REITORIA DE ENSINO DE GRADUAÇÃO – PROEN</w:t>
          </w:r>
        </w:p>
      </w:tc>
    </w:tr>
  </w:tbl>
  <w:p w:rsidR="00856B00" w:rsidRDefault="00856B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810"/>
    <w:multiLevelType w:val="hybridMultilevel"/>
    <w:tmpl w:val="B916242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F12502"/>
    <w:multiLevelType w:val="hybridMultilevel"/>
    <w:tmpl w:val="E2127C1E"/>
    <w:lvl w:ilvl="0" w:tplc="D9009530">
      <w:start w:val="1"/>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BA6707B"/>
    <w:multiLevelType w:val="hybridMultilevel"/>
    <w:tmpl w:val="CDDAD636"/>
    <w:lvl w:ilvl="0" w:tplc="77880644">
      <w:start w:val="1"/>
      <w:numFmt w:val="lowerLetter"/>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C744418"/>
    <w:multiLevelType w:val="hybridMultilevel"/>
    <w:tmpl w:val="4272902C"/>
    <w:lvl w:ilvl="0" w:tplc="E33E407C">
      <w:start w:val="1"/>
      <w:numFmt w:val="lowerLetter"/>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E1A0D15"/>
    <w:multiLevelType w:val="hybridMultilevel"/>
    <w:tmpl w:val="0726A59A"/>
    <w:lvl w:ilvl="0" w:tplc="15747B6E">
      <w:start w:val="1"/>
      <w:numFmt w:val="lowerLetter"/>
      <w:lvlText w:val="%1)"/>
      <w:lvlJc w:val="left"/>
      <w:pPr>
        <w:tabs>
          <w:tab w:val="num" w:pos="0"/>
        </w:tabs>
        <w:ind w:left="0" w:firstLine="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FE412D8"/>
    <w:multiLevelType w:val="hybridMultilevel"/>
    <w:tmpl w:val="38D464AA"/>
    <w:lvl w:ilvl="0" w:tplc="7A28F1BC">
      <w:start w:val="1"/>
      <w:numFmt w:val="decimal"/>
      <w:lvlText w:val="%1."/>
      <w:lvlJc w:val="left"/>
      <w:pPr>
        <w:tabs>
          <w:tab w:val="num" w:pos="360"/>
        </w:tabs>
        <w:ind w:left="0" w:firstLine="0"/>
      </w:pPr>
      <w:rPr>
        <w:rFonts w:ascii="Arial" w:hAnsi="Arial" w:hint="default"/>
        <w:b w:val="0"/>
        <w:i w:val="0"/>
        <w:sz w:val="22"/>
      </w:rPr>
    </w:lvl>
    <w:lvl w:ilvl="1" w:tplc="1F6A8F6C">
      <w:start w:val="1"/>
      <w:numFmt w:val="lowerLetter"/>
      <w:lvlText w:val="%2."/>
      <w:lvlJc w:val="left"/>
      <w:pPr>
        <w:tabs>
          <w:tab w:val="num" w:pos="360"/>
        </w:tabs>
        <w:ind w:left="0" w:firstLine="0"/>
      </w:pPr>
      <w:rPr>
        <w:rFonts w:hint="default"/>
      </w:rPr>
    </w:lvl>
    <w:lvl w:ilvl="2" w:tplc="9B78FACE">
      <w:start w:val="8"/>
      <w:numFmt w:val="decimal"/>
      <w:lvlText w:val="%3."/>
      <w:lvlJc w:val="left"/>
      <w:pPr>
        <w:tabs>
          <w:tab w:val="num" w:pos="360"/>
        </w:tabs>
        <w:ind w:left="0" w:firstLine="0"/>
      </w:pPr>
      <w:rPr>
        <w:rFonts w:hint="default"/>
        <w:b w:val="0"/>
        <w:i w:val="0"/>
      </w:rPr>
    </w:lvl>
    <w:lvl w:ilvl="3" w:tplc="AA8C3CCC">
      <w:start w:val="1"/>
      <w:numFmt w:val="lowerLetter"/>
      <w:lvlText w:val="%4."/>
      <w:lvlJc w:val="left"/>
      <w:pPr>
        <w:tabs>
          <w:tab w:val="num" w:pos="360"/>
        </w:tabs>
        <w:ind w:left="0" w:firstLine="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3A06721"/>
    <w:multiLevelType w:val="hybridMultilevel"/>
    <w:tmpl w:val="54E4FFF4"/>
    <w:lvl w:ilvl="0" w:tplc="F63641B4">
      <w:start w:val="7"/>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4C5FA7"/>
    <w:multiLevelType w:val="hybridMultilevel"/>
    <w:tmpl w:val="48C4DFA8"/>
    <w:lvl w:ilvl="0" w:tplc="04160017">
      <w:start w:val="1"/>
      <w:numFmt w:val="lowerLetter"/>
      <w:lvlText w:val="%1)"/>
      <w:lvlJc w:val="left"/>
      <w:pPr>
        <w:tabs>
          <w:tab w:val="num" w:pos="720"/>
        </w:tabs>
        <w:ind w:left="720" w:hanging="360"/>
      </w:pPr>
    </w:lvl>
    <w:lvl w:ilvl="1" w:tplc="D1F655AE">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70061F8"/>
    <w:multiLevelType w:val="hybridMultilevel"/>
    <w:tmpl w:val="816E00EC"/>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E91C9B"/>
    <w:multiLevelType w:val="hybridMultilevel"/>
    <w:tmpl w:val="26E6B74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2267953"/>
    <w:multiLevelType w:val="singleLevel"/>
    <w:tmpl w:val="79285C6A"/>
    <w:lvl w:ilvl="0">
      <w:start w:val="2"/>
      <w:numFmt w:val="bullet"/>
      <w:lvlText w:val="-"/>
      <w:lvlJc w:val="left"/>
      <w:pPr>
        <w:tabs>
          <w:tab w:val="num" w:pos="420"/>
        </w:tabs>
        <w:ind w:left="420" w:hanging="360"/>
      </w:pPr>
      <w:rPr>
        <w:rFonts w:hint="default"/>
      </w:rPr>
    </w:lvl>
  </w:abstractNum>
  <w:abstractNum w:abstractNumId="11">
    <w:nsid w:val="459E08A1"/>
    <w:multiLevelType w:val="hybridMultilevel"/>
    <w:tmpl w:val="672C6E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F23381D"/>
    <w:multiLevelType w:val="hybridMultilevel"/>
    <w:tmpl w:val="4964E802"/>
    <w:lvl w:ilvl="0" w:tplc="BB4272F4">
      <w:start w:val="1"/>
      <w:numFmt w:val="lowerLetter"/>
      <w:lvlText w:val="%1."/>
      <w:lvlJc w:val="left"/>
      <w:pPr>
        <w:tabs>
          <w:tab w:val="num" w:pos="0"/>
        </w:tabs>
        <w:ind w:left="0" w:firstLine="0"/>
      </w:pPr>
      <w:rPr>
        <w:rFonts w:hint="default"/>
        <w:b w:val="0"/>
        <w:i w:val="0"/>
      </w:rPr>
    </w:lvl>
    <w:lvl w:ilvl="1" w:tplc="60DE7CAC">
      <w:start w:val="3"/>
      <w:numFmt w:val="decimal"/>
      <w:lvlText w:val="%2."/>
      <w:lvlJc w:val="left"/>
      <w:pPr>
        <w:tabs>
          <w:tab w:val="num" w:pos="0"/>
        </w:tabs>
        <w:ind w:left="0" w:firstLine="0"/>
      </w:pPr>
      <w:rPr>
        <w:rFonts w:hint="default"/>
        <w:b w:val="0"/>
        <w:i w:val="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EA066B1"/>
    <w:multiLevelType w:val="hybridMultilevel"/>
    <w:tmpl w:val="81DA1662"/>
    <w:lvl w:ilvl="0" w:tplc="B602FC46">
      <w:start w:val="1"/>
      <w:numFmt w:val="decimal"/>
      <w:lvlText w:val="%1."/>
      <w:lvlJc w:val="left"/>
      <w:pPr>
        <w:tabs>
          <w:tab w:val="num" w:pos="0"/>
        </w:tabs>
        <w:ind w:left="0" w:firstLine="0"/>
      </w:pPr>
      <w:rPr>
        <w:rFonts w:hint="default"/>
      </w:rPr>
    </w:lvl>
    <w:lvl w:ilvl="1" w:tplc="844022BA">
      <w:start w:val="1"/>
      <w:numFmt w:val="lowerLetter"/>
      <w:lvlText w:val="%2)"/>
      <w:lvlJc w:val="left"/>
      <w:pPr>
        <w:tabs>
          <w:tab w:val="num" w:pos="1080"/>
        </w:tabs>
        <w:ind w:left="0" w:firstLine="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94D087F"/>
    <w:multiLevelType w:val="multilevel"/>
    <w:tmpl w:val="0726A59A"/>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A5B6886"/>
    <w:multiLevelType w:val="hybridMultilevel"/>
    <w:tmpl w:val="31F617A6"/>
    <w:lvl w:ilvl="0" w:tplc="E2FEE53E">
      <w:start w:val="1"/>
      <w:numFmt w:val="bullet"/>
      <w:lvlText w:val=""/>
      <w:lvlJc w:val="left"/>
      <w:pPr>
        <w:tabs>
          <w:tab w:val="num" w:pos="0"/>
        </w:tabs>
        <w:ind w:left="0" w:firstLine="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71BE5F77"/>
    <w:multiLevelType w:val="hybridMultilevel"/>
    <w:tmpl w:val="1F545976"/>
    <w:lvl w:ilvl="0" w:tplc="E3DC101E">
      <w:start w:val="1"/>
      <w:numFmt w:val="lowerLetter"/>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6864252"/>
    <w:multiLevelType w:val="hybridMultilevel"/>
    <w:tmpl w:val="FDBE090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7D037FE"/>
    <w:multiLevelType w:val="hybridMultilevel"/>
    <w:tmpl w:val="913043C8"/>
    <w:lvl w:ilvl="0" w:tplc="E716CA82">
      <w:start w:val="4"/>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A4E5595"/>
    <w:multiLevelType w:val="hybridMultilevel"/>
    <w:tmpl w:val="FFCAA864"/>
    <w:lvl w:ilvl="0" w:tplc="C424501E">
      <w:start w:val="1"/>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5"/>
  </w:num>
  <w:num w:numId="4">
    <w:abstractNumId w:val="9"/>
  </w:num>
  <w:num w:numId="5">
    <w:abstractNumId w:val="5"/>
  </w:num>
  <w:num w:numId="6">
    <w:abstractNumId w:val="4"/>
  </w:num>
  <w:num w:numId="7">
    <w:abstractNumId w:val="14"/>
  </w:num>
  <w:num w:numId="8">
    <w:abstractNumId w:val="2"/>
  </w:num>
  <w:num w:numId="9">
    <w:abstractNumId w:val="1"/>
  </w:num>
  <w:num w:numId="10">
    <w:abstractNumId w:val="7"/>
  </w:num>
  <w:num w:numId="11">
    <w:abstractNumId w:val="17"/>
  </w:num>
  <w:num w:numId="12">
    <w:abstractNumId w:val="19"/>
  </w:num>
  <w:num w:numId="13">
    <w:abstractNumId w:val="6"/>
  </w:num>
  <w:num w:numId="14">
    <w:abstractNumId w:val="3"/>
  </w:num>
  <w:num w:numId="15">
    <w:abstractNumId w:val="12"/>
  </w:num>
  <w:num w:numId="16">
    <w:abstractNumId w:val="13"/>
  </w:num>
  <w:num w:numId="17">
    <w:abstractNumId w:val="16"/>
  </w:num>
  <w:num w:numId="18">
    <w:abstractNumId w:val="11"/>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1761C1"/>
    <w:rsid w:val="0000122E"/>
    <w:rsid w:val="000368E6"/>
    <w:rsid w:val="0004047C"/>
    <w:rsid w:val="000473B6"/>
    <w:rsid w:val="000473BB"/>
    <w:rsid w:val="000577E1"/>
    <w:rsid w:val="00065139"/>
    <w:rsid w:val="000C27AF"/>
    <w:rsid w:val="000C295E"/>
    <w:rsid w:val="0011090F"/>
    <w:rsid w:val="00157290"/>
    <w:rsid w:val="001761C1"/>
    <w:rsid w:val="001A17BD"/>
    <w:rsid w:val="001A4066"/>
    <w:rsid w:val="001A55E3"/>
    <w:rsid w:val="0023270E"/>
    <w:rsid w:val="00244582"/>
    <w:rsid w:val="002646A3"/>
    <w:rsid w:val="00267D37"/>
    <w:rsid w:val="002E7EBC"/>
    <w:rsid w:val="002F58D5"/>
    <w:rsid w:val="00302FCA"/>
    <w:rsid w:val="003231C6"/>
    <w:rsid w:val="0037618E"/>
    <w:rsid w:val="003B0AE3"/>
    <w:rsid w:val="003B6E76"/>
    <w:rsid w:val="003D6664"/>
    <w:rsid w:val="003F5244"/>
    <w:rsid w:val="00401B50"/>
    <w:rsid w:val="00403AD2"/>
    <w:rsid w:val="00425395"/>
    <w:rsid w:val="00477184"/>
    <w:rsid w:val="005022D2"/>
    <w:rsid w:val="005148DA"/>
    <w:rsid w:val="005212EE"/>
    <w:rsid w:val="00526CC1"/>
    <w:rsid w:val="00582D4D"/>
    <w:rsid w:val="005C0EE6"/>
    <w:rsid w:val="00602F4B"/>
    <w:rsid w:val="006445A2"/>
    <w:rsid w:val="006933ED"/>
    <w:rsid w:val="006A7361"/>
    <w:rsid w:val="006C3372"/>
    <w:rsid w:val="00717D8A"/>
    <w:rsid w:val="00720292"/>
    <w:rsid w:val="00732626"/>
    <w:rsid w:val="00756F56"/>
    <w:rsid w:val="00775C04"/>
    <w:rsid w:val="00784639"/>
    <w:rsid w:val="007C1907"/>
    <w:rsid w:val="007D7E14"/>
    <w:rsid w:val="007F1699"/>
    <w:rsid w:val="00831405"/>
    <w:rsid w:val="00843DBF"/>
    <w:rsid w:val="00856A3E"/>
    <w:rsid w:val="00856B00"/>
    <w:rsid w:val="00874545"/>
    <w:rsid w:val="008C6B75"/>
    <w:rsid w:val="008F457A"/>
    <w:rsid w:val="009125B4"/>
    <w:rsid w:val="00960D8F"/>
    <w:rsid w:val="00A17732"/>
    <w:rsid w:val="00A70252"/>
    <w:rsid w:val="00AA4AD7"/>
    <w:rsid w:val="00AA710D"/>
    <w:rsid w:val="00AB7575"/>
    <w:rsid w:val="00AD0215"/>
    <w:rsid w:val="00AF74F0"/>
    <w:rsid w:val="00B275A6"/>
    <w:rsid w:val="00B75A96"/>
    <w:rsid w:val="00BA303A"/>
    <w:rsid w:val="00BD3909"/>
    <w:rsid w:val="00C142F8"/>
    <w:rsid w:val="00C34543"/>
    <w:rsid w:val="00C50C2A"/>
    <w:rsid w:val="00C70AB3"/>
    <w:rsid w:val="00CB46B6"/>
    <w:rsid w:val="00CE669E"/>
    <w:rsid w:val="00D442BC"/>
    <w:rsid w:val="00D81D76"/>
    <w:rsid w:val="00D81DA0"/>
    <w:rsid w:val="00DA72D7"/>
    <w:rsid w:val="00DD6A0B"/>
    <w:rsid w:val="00E54DE6"/>
    <w:rsid w:val="00E95200"/>
    <w:rsid w:val="00EA600B"/>
    <w:rsid w:val="00EB0257"/>
    <w:rsid w:val="00EB0722"/>
    <w:rsid w:val="00EC5973"/>
    <w:rsid w:val="00ED3927"/>
    <w:rsid w:val="00F23A37"/>
    <w:rsid w:val="00F27E57"/>
    <w:rsid w:val="00F366C5"/>
    <w:rsid w:val="00F8161F"/>
    <w:rsid w:val="00F8306B"/>
    <w:rsid w:val="00F917B6"/>
    <w:rsid w:val="00FB6F4D"/>
    <w:rsid w:val="00FF4F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184"/>
    <w:rPr>
      <w:sz w:val="24"/>
      <w:szCs w:val="24"/>
    </w:rPr>
  </w:style>
  <w:style w:type="paragraph" w:styleId="Ttulo1">
    <w:name w:val="heading 1"/>
    <w:basedOn w:val="Normal"/>
    <w:next w:val="Normal"/>
    <w:qFormat/>
    <w:rsid w:val="00874545"/>
    <w:pPr>
      <w:keepNext/>
      <w:jc w:val="center"/>
      <w:outlineLvl w:val="0"/>
    </w:pPr>
    <w:rPr>
      <w:b/>
      <w:sz w:val="20"/>
      <w:szCs w:val="20"/>
    </w:rPr>
  </w:style>
  <w:style w:type="paragraph" w:styleId="Ttulo2">
    <w:name w:val="heading 2"/>
    <w:basedOn w:val="Normal"/>
    <w:next w:val="Normal"/>
    <w:qFormat/>
    <w:rsid w:val="000473B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2F4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81D76"/>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761C1"/>
    <w:pPr>
      <w:tabs>
        <w:tab w:val="center" w:pos="4252"/>
        <w:tab w:val="right" w:pos="8504"/>
      </w:tabs>
    </w:pPr>
  </w:style>
  <w:style w:type="paragraph" w:styleId="Rodap">
    <w:name w:val="footer"/>
    <w:basedOn w:val="Normal"/>
    <w:link w:val="RodapChar"/>
    <w:uiPriority w:val="99"/>
    <w:rsid w:val="001761C1"/>
    <w:pPr>
      <w:tabs>
        <w:tab w:val="center" w:pos="4252"/>
        <w:tab w:val="right" w:pos="8504"/>
      </w:tabs>
    </w:pPr>
  </w:style>
  <w:style w:type="table" w:styleId="Tabelacomgrade">
    <w:name w:val="Table Grid"/>
    <w:basedOn w:val="Tabelanormal"/>
    <w:rsid w:val="00176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Subttulo"/>
    <w:qFormat/>
    <w:rsid w:val="001761C1"/>
    <w:pPr>
      <w:suppressAutoHyphens/>
      <w:jc w:val="center"/>
    </w:pPr>
    <w:rPr>
      <w:rFonts w:ascii="Arial" w:hAnsi="Arial" w:cs="Calibri"/>
      <w:sz w:val="28"/>
      <w:szCs w:val="20"/>
      <w:lang w:eastAsia="ar-SA"/>
    </w:rPr>
  </w:style>
  <w:style w:type="paragraph" w:styleId="Subttulo">
    <w:name w:val="Subtitle"/>
    <w:basedOn w:val="Normal"/>
    <w:qFormat/>
    <w:rsid w:val="001761C1"/>
    <w:pPr>
      <w:spacing w:after="60"/>
      <w:jc w:val="center"/>
      <w:outlineLvl w:val="1"/>
    </w:pPr>
    <w:rPr>
      <w:rFonts w:ascii="Arial" w:hAnsi="Arial" w:cs="Arial"/>
    </w:rPr>
  </w:style>
  <w:style w:type="character" w:styleId="Nmerodepgina">
    <w:name w:val="page number"/>
    <w:basedOn w:val="Fontepargpadro"/>
    <w:rsid w:val="00EA600B"/>
  </w:style>
  <w:style w:type="paragraph" w:customStyle="1" w:styleId="CorpodetextoPC">
    <w:name w:val="Corpo de texto PC"/>
    <w:basedOn w:val="Corpodetexto"/>
    <w:rsid w:val="00874545"/>
    <w:pPr>
      <w:suppressAutoHyphens/>
      <w:spacing w:after="0"/>
      <w:jc w:val="both"/>
    </w:pPr>
    <w:rPr>
      <w:rFonts w:ascii="Arial" w:hAnsi="Arial"/>
      <w:sz w:val="20"/>
      <w:szCs w:val="20"/>
      <w:lang w:eastAsia="ar-SA"/>
    </w:rPr>
  </w:style>
  <w:style w:type="paragraph" w:styleId="Corpodetexto">
    <w:name w:val="Body Text"/>
    <w:basedOn w:val="Normal"/>
    <w:rsid w:val="00874545"/>
    <w:pPr>
      <w:spacing w:after="120"/>
    </w:pPr>
  </w:style>
  <w:style w:type="paragraph" w:customStyle="1" w:styleId="TtuloPC">
    <w:name w:val="Título PC"/>
    <w:basedOn w:val="Ttulo3"/>
    <w:next w:val="CorpodetextoPC"/>
    <w:rsid w:val="00602F4B"/>
    <w:pPr>
      <w:numPr>
        <w:ilvl w:val="2"/>
      </w:numPr>
      <w:suppressAutoHyphens/>
      <w:spacing w:before="80" w:after="80"/>
      <w:outlineLvl w:val="9"/>
    </w:pPr>
    <w:rPr>
      <w:rFonts w:cs="Times New Roman"/>
      <w:bCs w:val="0"/>
      <w:caps/>
      <w:sz w:val="20"/>
      <w:szCs w:val="20"/>
      <w:lang w:eastAsia="ar-SA"/>
    </w:rPr>
  </w:style>
  <w:style w:type="paragraph" w:styleId="NormalWeb">
    <w:name w:val="Normal (Web)"/>
    <w:basedOn w:val="Normal"/>
    <w:rsid w:val="005148DA"/>
    <w:pPr>
      <w:spacing w:before="100" w:beforeAutospacing="1" w:after="100" w:afterAutospacing="1"/>
    </w:pPr>
  </w:style>
  <w:style w:type="character" w:customStyle="1" w:styleId="longtext1">
    <w:name w:val="long_text1"/>
    <w:basedOn w:val="Fontepargpadro"/>
    <w:rsid w:val="005148DA"/>
    <w:rPr>
      <w:sz w:val="20"/>
      <w:szCs w:val="20"/>
    </w:rPr>
  </w:style>
  <w:style w:type="character" w:customStyle="1" w:styleId="contentheader1">
    <w:name w:val="contentheader1"/>
    <w:basedOn w:val="Fontepargpadro"/>
    <w:rsid w:val="000473BB"/>
    <w:rPr>
      <w:rFonts w:ascii="Verdana" w:hAnsi="Verdana" w:hint="default"/>
      <w:b/>
      <w:bCs/>
      <w:color w:val="7682CC"/>
      <w:sz w:val="27"/>
      <w:szCs w:val="27"/>
    </w:rPr>
  </w:style>
  <w:style w:type="character" w:customStyle="1" w:styleId="randomanswers1">
    <w:name w:val="randomanswers1"/>
    <w:basedOn w:val="Fontepargpadro"/>
    <w:rsid w:val="000473BB"/>
    <w:rPr>
      <w:rFonts w:ascii="Verdana" w:hAnsi="Verdana" w:hint="default"/>
      <w:b w:val="0"/>
      <w:bCs w:val="0"/>
      <w:i/>
      <w:iCs/>
      <w:color w:val="805A2A"/>
      <w:sz w:val="17"/>
      <w:szCs w:val="17"/>
    </w:rPr>
  </w:style>
  <w:style w:type="paragraph" w:styleId="Partesuperior-zdoformulrio">
    <w:name w:val="HTML Top of Form"/>
    <w:basedOn w:val="Normal"/>
    <w:next w:val="Normal"/>
    <w:hidden/>
    <w:rsid w:val="000473BB"/>
    <w:pPr>
      <w:pBdr>
        <w:bottom w:val="single" w:sz="6" w:space="1" w:color="auto"/>
      </w:pBdr>
      <w:jc w:val="center"/>
    </w:pPr>
    <w:rPr>
      <w:rFonts w:ascii="Arial" w:hAnsi="Arial" w:cs="Arial"/>
      <w:vanish/>
      <w:sz w:val="16"/>
      <w:szCs w:val="16"/>
    </w:rPr>
  </w:style>
  <w:style w:type="character" w:customStyle="1" w:styleId="multichoicequestion1">
    <w:name w:val="multichoicequestion1"/>
    <w:basedOn w:val="Fontepargpadro"/>
    <w:rsid w:val="000473BB"/>
    <w:rPr>
      <w:rFonts w:ascii="Verdana" w:hAnsi="Verdana" w:hint="default"/>
      <w:b/>
      <w:bCs/>
      <w:color w:val="353534"/>
      <w:sz w:val="20"/>
      <w:szCs w:val="20"/>
    </w:rPr>
  </w:style>
  <w:style w:type="character" w:customStyle="1" w:styleId="multichoiceanswer1">
    <w:name w:val="multichoiceanswer1"/>
    <w:basedOn w:val="Fontepargpadro"/>
    <w:rsid w:val="000473BB"/>
    <w:rPr>
      <w:rFonts w:ascii="Verdana" w:hAnsi="Verdana" w:hint="default"/>
      <w:b w:val="0"/>
      <w:bCs w:val="0"/>
      <w:color w:val="000000"/>
      <w:sz w:val="18"/>
      <w:szCs w:val="18"/>
    </w:rPr>
  </w:style>
  <w:style w:type="paragraph" w:styleId="Parteinferiordoformulrio">
    <w:name w:val="HTML Bottom of Form"/>
    <w:basedOn w:val="Normal"/>
    <w:next w:val="Normal"/>
    <w:hidden/>
    <w:rsid w:val="000473BB"/>
    <w:pPr>
      <w:pBdr>
        <w:top w:val="single" w:sz="6" w:space="1" w:color="auto"/>
      </w:pBdr>
      <w:jc w:val="center"/>
    </w:pPr>
    <w:rPr>
      <w:rFonts w:ascii="Arial" w:hAnsi="Arial" w:cs="Arial"/>
      <w:vanish/>
      <w:sz w:val="16"/>
      <w:szCs w:val="16"/>
    </w:rPr>
  </w:style>
  <w:style w:type="character" w:styleId="Hyperlink">
    <w:name w:val="Hyperlink"/>
    <w:basedOn w:val="Fontepargpadro"/>
    <w:rsid w:val="00720292"/>
    <w:rPr>
      <w:color w:val="0000FF"/>
      <w:u w:val="single"/>
    </w:rPr>
  </w:style>
  <w:style w:type="paragraph" w:styleId="Textodenotaderodap">
    <w:name w:val="footnote text"/>
    <w:basedOn w:val="Normal"/>
    <w:semiHidden/>
    <w:rsid w:val="003B6E76"/>
    <w:rPr>
      <w:sz w:val="20"/>
      <w:szCs w:val="20"/>
    </w:rPr>
  </w:style>
  <w:style w:type="character" w:styleId="Refdenotaderodap">
    <w:name w:val="footnote reference"/>
    <w:basedOn w:val="Fontepargpadro"/>
    <w:semiHidden/>
    <w:rsid w:val="003B6E76"/>
    <w:rPr>
      <w:vertAlign w:val="superscript"/>
    </w:rPr>
  </w:style>
  <w:style w:type="character" w:customStyle="1" w:styleId="Ttulo4Char">
    <w:name w:val="Título 4 Char"/>
    <w:basedOn w:val="Fontepargpadro"/>
    <w:link w:val="Ttulo4"/>
    <w:rsid w:val="00D81D76"/>
    <w:rPr>
      <w:rFonts w:ascii="Calibri" w:eastAsia="Times New Roman" w:hAnsi="Calibri" w:cs="Times New Roman"/>
      <w:b/>
      <w:bCs/>
      <w:sz w:val="28"/>
      <w:szCs w:val="28"/>
    </w:rPr>
  </w:style>
  <w:style w:type="character" w:customStyle="1" w:styleId="RodapChar">
    <w:name w:val="Rodapé Char"/>
    <w:basedOn w:val="Fontepargpadro"/>
    <w:link w:val="Rodap"/>
    <w:uiPriority w:val="99"/>
    <w:rsid w:val="007D7E14"/>
    <w:rPr>
      <w:sz w:val="24"/>
      <w:szCs w:val="24"/>
    </w:rPr>
  </w:style>
  <w:style w:type="paragraph" w:styleId="Textodebalo">
    <w:name w:val="Balloon Text"/>
    <w:basedOn w:val="Normal"/>
    <w:link w:val="TextodebaloChar"/>
    <w:rsid w:val="003B0AE3"/>
    <w:rPr>
      <w:rFonts w:ascii="Tahoma" w:hAnsi="Tahoma" w:cs="Tahoma"/>
      <w:sz w:val="16"/>
      <w:szCs w:val="16"/>
    </w:rPr>
  </w:style>
  <w:style w:type="character" w:customStyle="1" w:styleId="TextodebaloChar">
    <w:name w:val="Texto de balão Char"/>
    <w:basedOn w:val="Fontepargpadro"/>
    <w:link w:val="Textodebalo"/>
    <w:rsid w:val="003B0AE3"/>
    <w:rPr>
      <w:rFonts w:ascii="Tahoma" w:hAnsi="Tahoma" w:cs="Tahoma"/>
      <w:sz w:val="16"/>
      <w:szCs w:val="16"/>
    </w:rPr>
  </w:style>
  <w:style w:type="paragraph" w:customStyle="1" w:styleId="Padro">
    <w:name w:val="Padrão"/>
    <w:rsid w:val="003B0AE3"/>
    <w:pPr>
      <w:tabs>
        <w:tab w:val="left" w:pos="708"/>
      </w:tabs>
      <w:suppressAutoHyphens/>
      <w:spacing w:after="200" w:line="276" w:lineRule="auto"/>
    </w:pPr>
    <w:rPr>
      <w:rFonts w:eastAsia="Arial Unicode MS" w:cs="Mangal"/>
      <w:sz w:val="24"/>
      <w:szCs w:val="24"/>
      <w:lang w:eastAsia="ar-SA" w:bidi="hi-IN"/>
    </w:rPr>
  </w:style>
  <w:style w:type="character" w:customStyle="1" w:styleId="LinkdaInternet">
    <w:name w:val="Link da Internet"/>
    <w:basedOn w:val="Fontepargpadro"/>
    <w:rsid w:val="003B0AE3"/>
    <w:rPr>
      <w:color w:val="0000FF"/>
      <w:u w:val="single"/>
      <w:lang w:val="pt-BR" w:eastAsia="pt-BR" w:bidi="pt-BR"/>
    </w:rPr>
  </w:style>
  <w:style w:type="character" w:customStyle="1" w:styleId="ncoradenotaderodap">
    <w:name w:val="Âncora de nota de rodapé"/>
    <w:rsid w:val="003B0AE3"/>
    <w:rPr>
      <w:vertAlign w:val="superscript"/>
    </w:rPr>
  </w:style>
  <w:style w:type="paragraph" w:customStyle="1" w:styleId="Ttulo10">
    <w:name w:val="Título1"/>
    <w:basedOn w:val="Padro"/>
    <w:rsid w:val="003B0AE3"/>
    <w:pPr>
      <w:keepNext/>
      <w:spacing w:before="240" w:after="120"/>
      <w:jc w:val="center"/>
    </w:pPr>
    <w:rPr>
      <w:rFonts w:ascii="Arial" w:eastAsia="Lucida Sans Unicode" w:hAnsi="Arial" w:cs="Calibri"/>
      <w:sz w:val="28"/>
      <w:szCs w:val="20"/>
    </w:rPr>
  </w:style>
  <w:style w:type="paragraph" w:customStyle="1" w:styleId="Corpodetexto31">
    <w:name w:val="Corpo de texto 31"/>
    <w:basedOn w:val="Padro"/>
    <w:rsid w:val="003B0AE3"/>
    <w:pPr>
      <w:spacing w:after="120"/>
    </w:pPr>
    <w:rPr>
      <w:sz w:val="16"/>
      <w:szCs w:val="16"/>
    </w:rPr>
  </w:style>
  <w:style w:type="paragraph" w:customStyle="1" w:styleId="Recuodecorpodetexto31">
    <w:name w:val="Recuo de corpo de texto 31"/>
    <w:basedOn w:val="Padro"/>
    <w:rsid w:val="003B0AE3"/>
    <w:pPr>
      <w:spacing w:after="120"/>
      <w:ind w:left="283"/>
    </w:pPr>
    <w:rPr>
      <w:sz w:val="16"/>
      <w:szCs w:val="16"/>
    </w:rPr>
  </w:style>
  <w:style w:type="paragraph" w:customStyle="1" w:styleId="Corpodetexto21">
    <w:name w:val="Corpo de texto 21"/>
    <w:basedOn w:val="Padro"/>
    <w:rsid w:val="003B0AE3"/>
    <w:pPr>
      <w:spacing w:after="120" w:line="480" w:lineRule="atLeast"/>
    </w:pPr>
  </w:style>
  <w:style w:type="paragraph" w:customStyle="1" w:styleId="Notaderodap">
    <w:name w:val="Nota de rodapé"/>
    <w:basedOn w:val="Padro"/>
    <w:rsid w:val="003B0AE3"/>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w:divs>
    <w:div w:id="544636800">
      <w:bodyDiv w:val="1"/>
      <w:marLeft w:val="0"/>
      <w:marRight w:val="0"/>
      <w:marTop w:val="0"/>
      <w:marBottom w:val="0"/>
      <w:divBdr>
        <w:top w:val="none" w:sz="0" w:space="0" w:color="auto"/>
        <w:left w:val="none" w:sz="0" w:space="0" w:color="auto"/>
        <w:bottom w:val="none" w:sz="0" w:space="0" w:color="auto"/>
        <w:right w:val="none" w:sz="0" w:space="0" w:color="auto"/>
      </w:divBdr>
      <w:divsChild>
        <w:div w:id="1242065344">
          <w:marLeft w:val="120"/>
          <w:marRight w:val="120"/>
          <w:marTop w:val="45"/>
          <w:marBottom w:val="0"/>
          <w:divBdr>
            <w:top w:val="none" w:sz="0" w:space="0" w:color="auto"/>
            <w:left w:val="none" w:sz="0" w:space="0" w:color="auto"/>
            <w:bottom w:val="none" w:sz="0" w:space="0" w:color="auto"/>
            <w:right w:val="none" w:sz="0" w:space="0" w:color="auto"/>
          </w:divBdr>
          <w:divsChild>
            <w:div w:id="1420757955">
              <w:marLeft w:val="0"/>
              <w:marRight w:val="0"/>
              <w:marTop w:val="0"/>
              <w:marBottom w:val="0"/>
              <w:divBdr>
                <w:top w:val="none" w:sz="0" w:space="0" w:color="auto"/>
                <w:left w:val="none" w:sz="0" w:space="0" w:color="auto"/>
                <w:bottom w:val="none" w:sz="0" w:space="0" w:color="auto"/>
                <w:right w:val="none" w:sz="0" w:space="0" w:color="auto"/>
              </w:divBdr>
              <w:divsChild>
                <w:div w:id="1408990586">
                  <w:marLeft w:val="2400"/>
                  <w:marRight w:val="0"/>
                  <w:marTop w:val="0"/>
                  <w:marBottom w:val="0"/>
                  <w:divBdr>
                    <w:top w:val="none" w:sz="0" w:space="0" w:color="auto"/>
                    <w:left w:val="single" w:sz="6" w:space="17" w:color="C9D7F1"/>
                    <w:bottom w:val="none" w:sz="0" w:space="0" w:color="auto"/>
                    <w:right w:val="none" w:sz="0" w:space="0" w:color="auto"/>
                  </w:divBdr>
                  <w:divsChild>
                    <w:div w:id="320236800">
                      <w:marLeft w:val="75"/>
                      <w:marRight w:val="0"/>
                      <w:marTop w:val="225"/>
                      <w:marBottom w:val="75"/>
                      <w:divBdr>
                        <w:top w:val="none" w:sz="0" w:space="0" w:color="auto"/>
                        <w:left w:val="none" w:sz="0" w:space="0" w:color="auto"/>
                        <w:bottom w:val="none" w:sz="0" w:space="0" w:color="auto"/>
                        <w:right w:val="none" w:sz="0" w:space="0" w:color="auto"/>
                      </w:divBdr>
                      <w:divsChild>
                        <w:div w:id="300353003">
                          <w:marLeft w:val="0"/>
                          <w:marRight w:val="0"/>
                          <w:marTop w:val="0"/>
                          <w:marBottom w:val="0"/>
                          <w:divBdr>
                            <w:top w:val="none" w:sz="0" w:space="0" w:color="auto"/>
                            <w:left w:val="none" w:sz="0" w:space="0" w:color="auto"/>
                            <w:bottom w:val="none" w:sz="0" w:space="0" w:color="auto"/>
                            <w:right w:val="none" w:sz="0" w:space="0" w:color="auto"/>
                          </w:divBdr>
                          <w:divsChild>
                            <w:div w:id="960039767">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01294">
      <w:bodyDiv w:val="1"/>
      <w:marLeft w:val="150"/>
      <w:marRight w:val="900"/>
      <w:marTop w:val="30"/>
      <w:marBottom w:val="225"/>
      <w:divBdr>
        <w:top w:val="none" w:sz="0" w:space="0" w:color="auto"/>
        <w:left w:val="none" w:sz="0" w:space="0" w:color="auto"/>
        <w:bottom w:val="none" w:sz="0" w:space="0" w:color="auto"/>
        <w:right w:val="none" w:sz="0" w:space="0" w:color="auto"/>
      </w:divBdr>
      <w:divsChild>
        <w:div w:id="1597404036">
          <w:marLeft w:val="0"/>
          <w:marRight w:val="0"/>
          <w:marTop w:val="0"/>
          <w:marBottom w:val="0"/>
          <w:divBdr>
            <w:top w:val="none" w:sz="0" w:space="0" w:color="auto"/>
            <w:left w:val="none" w:sz="0" w:space="0" w:color="auto"/>
            <w:bottom w:val="none" w:sz="0" w:space="0" w:color="auto"/>
            <w:right w:val="none" w:sz="0" w:space="0" w:color="auto"/>
          </w:divBdr>
          <w:divsChild>
            <w:div w:id="3649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8505">
      <w:bodyDiv w:val="1"/>
      <w:marLeft w:val="150"/>
      <w:marRight w:val="900"/>
      <w:marTop w:val="30"/>
      <w:marBottom w:val="225"/>
      <w:divBdr>
        <w:top w:val="none" w:sz="0" w:space="0" w:color="auto"/>
        <w:left w:val="none" w:sz="0" w:space="0" w:color="auto"/>
        <w:bottom w:val="none" w:sz="0" w:space="0" w:color="auto"/>
        <w:right w:val="none" w:sz="0" w:space="0" w:color="auto"/>
      </w:divBdr>
      <w:divsChild>
        <w:div w:id="301545107">
          <w:marLeft w:val="0"/>
          <w:marRight w:val="0"/>
          <w:marTop w:val="0"/>
          <w:marBottom w:val="0"/>
          <w:divBdr>
            <w:top w:val="none" w:sz="0" w:space="0" w:color="auto"/>
            <w:left w:val="none" w:sz="0" w:space="0" w:color="auto"/>
            <w:bottom w:val="none" w:sz="0" w:space="0" w:color="auto"/>
            <w:right w:val="none" w:sz="0" w:space="0" w:color="auto"/>
          </w:divBdr>
          <w:divsChild>
            <w:div w:id="2787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6495">
      <w:bodyDiv w:val="1"/>
      <w:marLeft w:val="0"/>
      <w:marRight w:val="0"/>
      <w:marTop w:val="0"/>
      <w:marBottom w:val="0"/>
      <w:divBdr>
        <w:top w:val="none" w:sz="0" w:space="0" w:color="auto"/>
        <w:left w:val="none" w:sz="0" w:space="0" w:color="auto"/>
        <w:bottom w:val="none" w:sz="0" w:space="0" w:color="auto"/>
        <w:right w:val="none" w:sz="0" w:space="0" w:color="auto"/>
      </w:divBdr>
      <w:divsChild>
        <w:div w:id="2108110117">
          <w:marLeft w:val="0"/>
          <w:marRight w:val="0"/>
          <w:marTop w:val="0"/>
          <w:marBottom w:val="0"/>
          <w:divBdr>
            <w:top w:val="none" w:sz="0" w:space="0" w:color="auto"/>
            <w:left w:val="none" w:sz="0" w:space="0" w:color="auto"/>
            <w:bottom w:val="none" w:sz="0" w:space="0" w:color="auto"/>
            <w:right w:val="none" w:sz="0" w:space="0" w:color="auto"/>
          </w:divBdr>
          <w:divsChild>
            <w:div w:id="1452672120">
              <w:marLeft w:val="0"/>
              <w:marRight w:val="0"/>
              <w:marTop w:val="0"/>
              <w:marBottom w:val="0"/>
              <w:divBdr>
                <w:top w:val="none" w:sz="0" w:space="0" w:color="auto"/>
                <w:left w:val="none" w:sz="0" w:space="0" w:color="auto"/>
                <w:bottom w:val="none" w:sz="0" w:space="0" w:color="auto"/>
                <w:right w:val="none" w:sz="0" w:space="0" w:color="auto"/>
              </w:divBdr>
              <w:divsChild>
                <w:div w:id="901214061">
                  <w:marLeft w:val="0"/>
                  <w:marRight w:val="0"/>
                  <w:marTop w:val="0"/>
                  <w:marBottom w:val="0"/>
                  <w:divBdr>
                    <w:top w:val="none" w:sz="0" w:space="0" w:color="auto"/>
                    <w:left w:val="none" w:sz="0" w:space="0" w:color="auto"/>
                    <w:bottom w:val="none" w:sz="0" w:space="0" w:color="auto"/>
                    <w:right w:val="none" w:sz="0" w:space="0" w:color="auto"/>
                  </w:divBdr>
                  <w:divsChild>
                    <w:div w:id="3200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6583">
      <w:bodyDiv w:val="1"/>
      <w:marLeft w:val="0"/>
      <w:marRight w:val="0"/>
      <w:marTop w:val="0"/>
      <w:marBottom w:val="0"/>
      <w:divBdr>
        <w:top w:val="none" w:sz="0" w:space="0" w:color="auto"/>
        <w:left w:val="none" w:sz="0" w:space="0" w:color="auto"/>
        <w:bottom w:val="none" w:sz="0" w:space="0" w:color="auto"/>
        <w:right w:val="none" w:sz="0" w:space="0" w:color="auto"/>
      </w:divBdr>
    </w:div>
    <w:div w:id="2027637144">
      <w:bodyDiv w:val="1"/>
      <w:marLeft w:val="0"/>
      <w:marRight w:val="0"/>
      <w:marTop w:val="0"/>
      <w:marBottom w:val="0"/>
      <w:divBdr>
        <w:top w:val="none" w:sz="0" w:space="0" w:color="auto"/>
        <w:left w:val="none" w:sz="0" w:space="0" w:color="auto"/>
        <w:bottom w:val="none" w:sz="0" w:space="0" w:color="auto"/>
        <w:right w:val="none" w:sz="0" w:space="0" w:color="auto"/>
      </w:divBdr>
      <w:divsChild>
        <w:div w:id="15815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meiraexportacao.mdic.gov.br/"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DANIELA%20RAPOSO\IC%20-%20PIIC\Comercio%20Exterior%20jan-jun%202010\outu%202012%20(version%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ANIELA%20RAPOSO\IC%20-%20PIIC\Comercio%20Exterior%20jan-jun%202010\outu%202012%20(version%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ANIELA%20RAPOSO\IC%20-%20PIIC\Comercio%20Exterior%20jan-jun%202010\outu%202012%20(version%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ANIELA%20RAPOSO\IC%20-%20PIIC\Comercio%20Exterior%20jan-jun%202010\outu%202012%20(version%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ANIELA%20RAPOSO\IC%20-%20PIIC\Comercio%20Exterior%20jan-jun%202010\outu%202012%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lang="en-US"/>
            </a:pPr>
            <a:r>
              <a:rPr sz="1400" b="1">
                <a:solidFill>
                  <a:srgbClr val="000000"/>
                </a:solidFill>
                <a:latin typeface="Calibri"/>
              </a:rPr>
              <a:t>Corrente de Comércio Exterior Campo das Vertentes 2011/12 (US$ Milhões)</a:t>
            </a:r>
          </a:p>
        </c:rich>
      </c:tx>
      <c:layout/>
    </c:title>
    <c:view3D>
      <c:rotX val="17"/>
      <c:rotY val="18"/>
      <c:rAngAx val="1"/>
    </c:view3D>
    <c:floor>
      <c:spPr>
        <a:ln w="9360">
          <a:solidFill>
            <a:srgbClr val="878787"/>
          </a:solidFill>
          <a:round/>
        </a:ln>
      </c:spPr>
    </c:floor>
    <c:plotArea>
      <c:layout/>
      <c:bar3DChart>
        <c:barDir val="col"/>
        <c:grouping val="clustered"/>
        <c:ser>
          <c:idx val="0"/>
          <c:order val="0"/>
          <c:tx>
            <c:strRef>
              <c:f>graf!$I$3</c:f>
              <c:strCache>
                <c:ptCount val="1"/>
                <c:pt idx="0">
                  <c:v>Exportação</c:v>
                </c:pt>
              </c:strCache>
            </c:strRef>
          </c:tx>
          <c:spPr>
            <a:solidFill>
              <a:srgbClr val="725990"/>
            </a:solidFill>
          </c:spPr>
          <c:cat>
            <c:strRef>
              <c:f>graf!$H$37:$H$49</c:f>
              <c:strCache>
                <c:ptCount val="13"/>
                <c:pt idx="0">
                  <c:v>Outubro</c:v>
                </c:pt>
                <c:pt idx="1">
                  <c:v>Novembro</c:v>
                </c:pt>
                <c:pt idx="2">
                  <c:v>Dezembro</c:v>
                </c:pt>
                <c:pt idx="3">
                  <c:v>Janeiro</c:v>
                </c:pt>
                <c:pt idx="4">
                  <c:v>Fevereiro</c:v>
                </c:pt>
                <c:pt idx="5">
                  <c:v>Março</c:v>
                </c:pt>
                <c:pt idx="6">
                  <c:v>Abril</c:v>
                </c:pt>
                <c:pt idx="7">
                  <c:v>Maio</c:v>
                </c:pt>
                <c:pt idx="8">
                  <c:v>Junho</c:v>
                </c:pt>
                <c:pt idx="9">
                  <c:v>Julho</c:v>
                </c:pt>
                <c:pt idx="10">
                  <c:v>Agosto</c:v>
                </c:pt>
                <c:pt idx="11">
                  <c:v>Setembro</c:v>
                </c:pt>
                <c:pt idx="12">
                  <c:v>Outubro</c:v>
                </c:pt>
              </c:strCache>
            </c:strRef>
          </c:cat>
          <c:val>
            <c:numRef>
              <c:f>graf!$I$37:$I$49</c:f>
              <c:numCache>
                <c:formatCode>0.00</c:formatCode>
                <c:ptCount val="13"/>
                <c:pt idx="0" formatCode="General">
                  <c:v>30.87</c:v>
                </c:pt>
                <c:pt idx="1">
                  <c:v>31.791574000000001</c:v>
                </c:pt>
                <c:pt idx="2">
                  <c:v>24.159132</c:v>
                </c:pt>
                <c:pt idx="3">
                  <c:v>26.117481000000002</c:v>
                </c:pt>
                <c:pt idx="4">
                  <c:v>20.38232</c:v>
                </c:pt>
                <c:pt idx="5">
                  <c:v>33.441417000000001</c:v>
                </c:pt>
                <c:pt idx="6">
                  <c:v>25.406309</c:v>
                </c:pt>
                <c:pt idx="7">
                  <c:v>30.969881000000001</c:v>
                </c:pt>
                <c:pt idx="8">
                  <c:v>20.770347000000001</c:v>
                </c:pt>
                <c:pt idx="9">
                  <c:v>19.539159999999999</c:v>
                </c:pt>
                <c:pt idx="10">
                  <c:v>20.915603000000004</c:v>
                </c:pt>
                <c:pt idx="11">
                  <c:v>20.272762</c:v>
                </c:pt>
                <c:pt idx="12">
                  <c:v>27.178172000000018</c:v>
                </c:pt>
              </c:numCache>
            </c:numRef>
          </c:val>
        </c:ser>
        <c:ser>
          <c:idx val="1"/>
          <c:order val="1"/>
          <c:tx>
            <c:strRef>
              <c:f>graf!$J$3</c:f>
              <c:strCache>
                <c:ptCount val="1"/>
                <c:pt idx="0">
                  <c:v>Importação</c:v>
                </c:pt>
              </c:strCache>
            </c:strRef>
          </c:tx>
          <c:spPr>
            <a:solidFill>
              <a:srgbClr val="A99BBD"/>
            </a:solidFill>
          </c:spPr>
          <c:cat>
            <c:strRef>
              <c:f>graf!$H$37:$H$49</c:f>
              <c:strCache>
                <c:ptCount val="13"/>
                <c:pt idx="0">
                  <c:v>Outubro</c:v>
                </c:pt>
                <c:pt idx="1">
                  <c:v>Novembro</c:v>
                </c:pt>
                <c:pt idx="2">
                  <c:v>Dezembro</c:v>
                </c:pt>
                <c:pt idx="3">
                  <c:v>Janeiro</c:v>
                </c:pt>
                <c:pt idx="4">
                  <c:v>Fevereiro</c:v>
                </c:pt>
                <c:pt idx="5">
                  <c:v>Março</c:v>
                </c:pt>
                <c:pt idx="6">
                  <c:v>Abril</c:v>
                </c:pt>
                <c:pt idx="7">
                  <c:v>Maio</c:v>
                </c:pt>
                <c:pt idx="8">
                  <c:v>Junho</c:v>
                </c:pt>
                <c:pt idx="9">
                  <c:v>Julho</c:v>
                </c:pt>
                <c:pt idx="10">
                  <c:v>Agosto</c:v>
                </c:pt>
                <c:pt idx="11">
                  <c:v>Setembro</c:v>
                </c:pt>
                <c:pt idx="12">
                  <c:v>Outubro</c:v>
                </c:pt>
              </c:strCache>
            </c:strRef>
          </c:cat>
          <c:val>
            <c:numRef>
              <c:f>graf!$J$37:$J$49</c:f>
              <c:numCache>
                <c:formatCode>0.00</c:formatCode>
                <c:ptCount val="13"/>
                <c:pt idx="0" formatCode="General">
                  <c:v>3.19</c:v>
                </c:pt>
                <c:pt idx="1">
                  <c:v>1.981212</c:v>
                </c:pt>
                <c:pt idx="2">
                  <c:v>5.0237519999999902</c:v>
                </c:pt>
                <c:pt idx="3">
                  <c:v>2.7139139999999999</c:v>
                </c:pt>
                <c:pt idx="4">
                  <c:v>4.4852420000000004</c:v>
                </c:pt>
                <c:pt idx="5">
                  <c:v>5.1778279999999999</c:v>
                </c:pt>
                <c:pt idx="6">
                  <c:v>2.0749789999999999</c:v>
                </c:pt>
                <c:pt idx="7">
                  <c:v>6.3211349999999999</c:v>
                </c:pt>
                <c:pt idx="8">
                  <c:v>2.4054199999999999</c:v>
                </c:pt>
                <c:pt idx="9">
                  <c:v>9.3087099999999996</c:v>
                </c:pt>
                <c:pt idx="10">
                  <c:v>4.6179670000000002</c:v>
                </c:pt>
                <c:pt idx="11">
                  <c:v>5.1182360000000031</c:v>
                </c:pt>
                <c:pt idx="12">
                  <c:v>10.536375999999997</c:v>
                </c:pt>
              </c:numCache>
            </c:numRef>
          </c:val>
        </c:ser>
        <c:shape val="box"/>
        <c:axId val="146230272"/>
        <c:axId val="166347136"/>
        <c:axId val="0"/>
      </c:bar3DChart>
      <c:catAx>
        <c:axId val="146230272"/>
        <c:scaling>
          <c:orientation val="minMax"/>
        </c:scaling>
        <c:axPos val="b"/>
        <c:tickLblPos val="low"/>
        <c:spPr>
          <a:ln w="9360">
            <a:solidFill>
              <a:srgbClr val="878787"/>
            </a:solidFill>
            <a:round/>
          </a:ln>
        </c:spPr>
        <c:txPr>
          <a:bodyPr/>
          <a:lstStyle/>
          <a:p>
            <a:pPr>
              <a:defRPr lang="en-US"/>
            </a:pPr>
            <a:endParaRPr lang="pt-BR"/>
          </a:p>
        </c:txPr>
        <c:crossAx val="166347136"/>
        <c:crossesAt val="0"/>
        <c:auto val="1"/>
        <c:lblAlgn val="ctr"/>
        <c:lblOffset val="100"/>
      </c:catAx>
      <c:valAx>
        <c:axId val="166347136"/>
        <c:scaling>
          <c:orientation val="minMax"/>
        </c:scaling>
        <c:delete val="1"/>
        <c:axPos val="l"/>
        <c:numFmt formatCode="General" sourceLinked="1"/>
        <c:tickLblPos val="none"/>
        <c:crossAx val="146230272"/>
        <c:crossesAt val="0"/>
        <c:crossBetween val="between"/>
      </c:valAx>
    </c:plotArea>
    <c:legend>
      <c:legendPos val="b"/>
      <c:layout/>
      <c:txPr>
        <a:bodyPr/>
        <a:lstStyle/>
        <a:p>
          <a:pPr>
            <a:defRPr lang="en-US"/>
          </a:pPr>
          <a:endParaRPr lang="pt-BR"/>
        </a:p>
      </c:txPr>
    </c:legend>
    <c:plotVisOnly val="1"/>
  </c:chart>
  <c:spPr>
    <a:solidFill>
      <a:srgbClr val="FFFFFF"/>
    </a:solidFill>
    <a:ln w="9360">
      <a:solidFill>
        <a:srgbClr val="878787"/>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lang="en-US"/>
            </a:pPr>
            <a:r>
              <a:rPr sz="1100" b="1">
                <a:solidFill>
                  <a:srgbClr val="000000"/>
                </a:solidFill>
                <a:latin typeface="Calibri"/>
              </a:rPr>
              <a:t>Campo das Vertentes: exportações 2011/2012 (US$ Milhões) </a:t>
            </a:r>
          </a:p>
        </c:rich>
      </c:tx>
      <c:layout/>
    </c:title>
    <c:plotArea>
      <c:layout/>
      <c:barChart>
        <c:barDir val="col"/>
        <c:grouping val="clustered"/>
        <c:ser>
          <c:idx val="0"/>
          <c:order val="0"/>
          <c:tx>
            <c:strRef>
              <c:f>graf!$I$3</c:f>
              <c:strCache>
                <c:ptCount val="1"/>
                <c:pt idx="0">
                  <c:v>Exportação</c:v>
                </c:pt>
              </c:strCache>
            </c:strRef>
          </c:tx>
          <c:spPr>
            <a:solidFill>
              <a:srgbClr val="9BBB59"/>
            </a:solidFill>
          </c:spPr>
          <c:cat>
            <c:strRef>
              <c:f>graf!$H$37:$H$49</c:f>
              <c:strCache>
                <c:ptCount val="13"/>
                <c:pt idx="0">
                  <c:v>Outubro</c:v>
                </c:pt>
                <c:pt idx="1">
                  <c:v>Novembro</c:v>
                </c:pt>
                <c:pt idx="2">
                  <c:v>Dezembro</c:v>
                </c:pt>
                <c:pt idx="3">
                  <c:v>Janeiro</c:v>
                </c:pt>
                <c:pt idx="4">
                  <c:v>Fevereiro</c:v>
                </c:pt>
                <c:pt idx="5">
                  <c:v>Março</c:v>
                </c:pt>
                <c:pt idx="6">
                  <c:v>Abril</c:v>
                </c:pt>
                <c:pt idx="7">
                  <c:v>Maio</c:v>
                </c:pt>
                <c:pt idx="8">
                  <c:v>Junho</c:v>
                </c:pt>
                <c:pt idx="9">
                  <c:v>Julho</c:v>
                </c:pt>
                <c:pt idx="10">
                  <c:v>Agosto</c:v>
                </c:pt>
                <c:pt idx="11">
                  <c:v>Setembro</c:v>
                </c:pt>
                <c:pt idx="12">
                  <c:v>Outubro</c:v>
                </c:pt>
              </c:strCache>
            </c:strRef>
          </c:cat>
          <c:val>
            <c:numRef>
              <c:f>graf!$I$37:$I$49</c:f>
              <c:numCache>
                <c:formatCode>0.00</c:formatCode>
                <c:ptCount val="13"/>
                <c:pt idx="0" formatCode="General">
                  <c:v>30.87</c:v>
                </c:pt>
                <c:pt idx="1">
                  <c:v>31.791574000000001</c:v>
                </c:pt>
                <c:pt idx="2">
                  <c:v>24.159132</c:v>
                </c:pt>
                <c:pt idx="3">
                  <c:v>26.117481000000002</c:v>
                </c:pt>
                <c:pt idx="4">
                  <c:v>20.38232</c:v>
                </c:pt>
                <c:pt idx="5">
                  <c:v>33.441417000000001</c:v>
                </c:pt>
                <c:pt idx="6">
                  <c:v>25.406309</c:v>
                </c:pt>
                <c:pt idx="7">
                  <c:v>30.969881000000001</c:v>
                </c:pt>
                <c:pt idx="8">
                  <c:v>20.770347000000001</c:v>
                </c:pt>
                <c:pt idx="9">
                  <c:v>19.539159999999999</c:v>
                </c:pt>
                <c:pt idx="10">
                  <c:v>20.915603000000004</c:v>
                </c:pt>
                <c:pt idx="11">
                  <c:v>20.272762</c:v>
                </c:pt>
                <c:pt idx="12">
                  <c:v>27.178172000000018</c:v>
                </c:pt>
              </c:numCache>
            </c:numRef>
          </c:val>
        </c:ser>
        <c:axId val="144541952"/>
        <c:axId val="144556032"/>
      </c:barChart>
      <c:catAx>
        <c:axId val="144541952"/>
        <c:scaling>
          <c:orientation val="minMax"/>
        </c:scaling>
        <c:axPos val="b"/>
        <c:tickLblPos val="nextTo"/>
        <c:spPr>
          <a:ln w="9360">
            <a:solidFill>
              <a:srgbClr val="878787"/>
            </a:solidFill>
            <a:round/>
          </a:ln>
        </c:spPr>
        <c:txPr>
          <a:bodyPr/>
          <a:lstStyle/>
          <a:p>
            <a:pPr>
              <a:defRPr lang="en-US"/>
            </a:pPr>
            <a:endParaRPr lang="pt-BR"/>
          </a:p>
        </c:txPr>
        <c:crossAx val="144556032"/>
        <c:crossesAt val="0"/>
        <c:auto val="1"/>
        <c:lblAlgn val="ctr"/>
        <c:lblOffset val="100"/>
      </c:catAx>
      <c:valAx>
        <c:axId val="144556032"/>
        <c:scaling>
          <c:orientation val="minMax"/>
        </c:scaling>
        <c:delete val="1"/>
        <c:axPos val="l"/>
        <c:numFmt formatCode="General" sourceLinked="1"/>
        <c:tickLblPos val="none"/>
        <c:crossAx val="144541952"/>
        <c:crossesAt val="0"/>
        <c:crossBetween val="between"/>
      </c:valAx>
      <c:spPr>
        <a:solidFill>
          <a:srgbClr val="FFFFFF"/>
        </a:solidFill>
      </c:spPr>
    </c:plotArea>
    <c:plotVisOnly val="1"/>
  </c:chart>
  <c:spPr>
    <a:solidFill>
      <a:srgbClr val="FFFFFF"/>
    </a:solidFill>
    <a:ln w="9360">
      <a:solidFill>
        <a:srgbClr val="878787"/>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lang="en-US"/>
            </a:pPr>
            <a:r>
              <a:rPr sz="1600" b="1">
                <a:solidFill>
                  <a:srgbClr val="000000"/>
                </a:solidFill>
                <a:latin typeface="Calibri"/>
              </a:rPr>
              <a:t>Principais Municípios Exportadores (%) Jan-Outubro 2011/12</a:t>
            </a:r>
          </a:p>
        </c:rich>
      </c:tx>
      <c:layout/>
    </c:title>
    <c:view3D>
      <c:rotX val="17"/>
      <c:rotY val="18"/>
      <c:rAngAx val="1"/>
    </c:view3D>
    <c:floor>
      <c:spPr>
        <a:ln w="9360">
          <a:solidFill>
            <a:srgbClr val="878787"/>
          </a:solidFill>
          <a:round/>
        </a:ln>
      </c:spPr>
    </c:floor>
    <c:plotArea>
      <c:layout/>
      <c:bar3DChart>
        <c:barDir val="col"/>
        <c:grouping val="clustered"/>
        <c:ser>
          <c:idx val="0"/>
          <c:order val="0"/>
          <c:tx>
            <c:strRef>
              <c:f>'pl1'!$H$43</c:f>
              <c:strCache>
                <c:ptCount val="1"/>
                <c:pt idx="0">
                  <c:v>out/12</c:v>
                </c:pt>
              </c:strCache>
            </c:strRef>
          </c:tx>
          <c:spPr>
            <a:solidFill>
              <a:srgbClr val="8AA64F"/>
            </a:solidFill>
          </c:spPr>
          <c:cat>
            <c:strRef>
              <c:f>'pl1'!$G$44:$G$48</c:f>
              <c:strCache>
                <c:ptCount val="5"/>
                <c:pt idx="0">
                  <c:v>Barbacena</c:v>
                </c:pt>
                <c:pt idx="1">
                  <c:v>Lavras</c:v>
                </c:pt>
                <c:pt idx="2">
                  <c:v>São João del Rei</c:v>
                </c:pt>
                <c:pt idx="3">
                  <c:v>Nazareno</c:v>
                </c:pt>
                <c:pt idx="4">
                  <c:v>D+ Mun</c:v>
                </c:pt>
              </c:strCache>
            </c:strRef>
          </c:cat>
          <c:val>
            <c:numRef>
              <c:f>'pl1'!$H$44:$H$48</c:f>
              <c:numCache>
                <c:formatCode>0.00</c:formatCode>
                <c:ptCount val="5"/>
                <c:pt idx="0">
                  <c:v>30.782366420138636</c:v>
                </c:pt>
                <c:pt idx="1">
                  <c:v>14.644601093687818</c:v>
                </c:pt>
                <c:pt idx="2">
                  <c:v>34.0134439423787</c:v>
                </c:pt>
                <c:pt idx="3">
                  <c:v>18.031113755417579</c:v>
                </c:pt>
                <c:pt idx="4">
                  <c:v>2.5284747883772667</c:v>
                </c:pt>
              </c:numCache>
            </c:numRef>
          </c:val>
        </c:ser>
        <c:ser>
          <c:idx val="1"/>
          <c:order val="1"/>
          <c:tx>
            <c:strRef>
              <c:f>'pl1'!$I$43</c:f>
              <c:strCache>
                <c:ptCount val="1"/>
                <c:pt idx="0">
                  <c:v>out/11</c:v>
                </c:pt>
              </c:strCache>
            </c:strRef>
          </c:tx>
          <c:spPr>
            <a:solidFill>
              <a:srgbClr val="B8CD97"/>
            </a:solidFill>
          </c:spPr>
          <c:cat>
            <c:strRef>
              <c:f>'pl1'!$G$44:$G$48</c:f>
              <c:strCache>
                <c:ptCount val="5"/>
                <c:pt idx="0">
                  <c:v>Barbacena</c:v>
                </c:pt>
                <c:pt idx="1">
                  <c:v>Lavras</c:v>
                </c:pt>
                <c:pt idx="2">
                  <c:v>São João del Rei</c:v>
                </c:pt>
                <c:pt idx="3">
                  <c:v>Nazareno</c:v>
                </c:pt>
                <c:pt idx="4">
                  <c:v>D+ Mun</c:v>
                </c:pt>
              </c:strCache>
            </c:strRef>
          </c:cat>
          <c:val>
            <c:numRef>
              <c:f>'pl1'!$I$44:$I$48</c:f>
              <c:numCache>
                <c:formatCode>0.00</c:formatCode>
                <c:ptCount val="5"/>
                <c:pt idx="0">
                  <c:v>41.710469671735176</c:v>
                </c:pt>
                <c:pt idx="1">
                  <c:v>16.233314368905351</c:v>
                </c:pt>
                <c:pt idx="2">
                  <c:v>32.313653505980781</c:v>
                </c:pt>
                <c:pt idx="3">
                  <c:v>7.5914125045919292</c:v>
                </c:pt>
                <c:pt idx="4">
                  <c:v>2.1511499487867667</c:v>
                </c:pt>
              </c:numCache>
            </c:numRef>
          </c:val>
        </c:ser>
        <c:shape val="box"/>
        <c:axId val="147741696"/>
        <c:axId val="148411904"/>
        <c:axId val="0"/>
      </c:bar3DChart>
      <c:catAx>
        <c:axId val="147741696"/>
        <c:scaling>
          <c:orientation val="minMax"/>
        </c:scaling>
        <c:axPos val="b"/>
        <c:tickLblPos val="low"/>
        <c:spPr>
          <a:ln w="9360">
            <a:solidFill>
              <a:srgbClr val="878787"/>
            </a:solidFill>
            <a:round/>
          </a:ln>
        </c:spPr>
        <c:txPr>
          <a:bodyPr/>
          <a:lstStyle/>
          <a:p>
            <a:pPr>
              <a:defRPr lang="en-US"/>
            </a:pPr>
            <a:endParaRPr lang="pt-BR"/>
          </a:p>
        </c:txPr>
        <c:crossAx val="148411904"/>
        <c:crossesAt val="0"/>
        <c:auto val="1"/>
        <c:lblAlgn val="ctr"/>
        <c:lblOffset val="100"/>
      </c:catAx>
      <c:valAx>
        <c:axId val="148411904"/>
        <c:scaling>
          <c:orientation val="minMax"/>
        </c:scaling>
        <c:axPos val="l"/>
        <c:numFmt formatCode="0.00" sourceLinked="1"/>
        <c:tickLblPos val="nextTo"/>
        <c:spPr>
          <a:ln w="9360">
            <a:solidFill>
              <a:srgbClr val="878787"/>
            </a:solidFill>
            <a:round/>
          </a:ln>
        </c:spPr>
        <c:txPr>
          <a:bodyPr/>
          <a:lstStyle/>
          <a:p>
            <a:pPr>
              <a:defRPr lang="en-US"/>
            </a:pPr>
            <a:endParaRPr lang="pt-BR"/>
          </a:p>
        </c:txPr>
        <c:crossAx val="147741696"/>
        <c:crossesAt val="0"/>
        <c:crossBetween val="between"/>
      </c:valAx>
    </c:plotArea>
    <c:legend>
      <c:legendPos val="r"/>
      <c:layout/>
      <c:txPr>
        <a:bodyPr/>
        <a:lstStyle/>
        <a:p>
          <a:pPr>
            <a:defRPr lang="en-US"/>
          </a:pPr>
          <a:endParaRPr lang="pt-BR"/>
        </a:p>
      </c:txPr>
    </c:legend>
    <c:plotVisOnly val="1"/>
  </c:chart>
  <c:spPr>
    <a:solidFill>
      <a:srgbClr val="FFFFFF"/>
    </a:solidFill>
    <a:ln w="9360">
      <a:solidFill>
        <a:srgbClr val="878787"/>
      </a:solidFill>
      <a:roun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lang="en-US"/>
            </a:pPr>
            <a:r>
              <a:rPr b="1">
                <a:solidFill>
                  <a:srgbClr val="000000"/>
                </a:solidFill>
                <a:latin typeface="Calibri"/>
              </a:rPr>
              <a:t>Corrente de Comércio Exterior Campo das Vertentes 2009/2012 (US$ Milhões)</a:t>
            </a:r>
          </a:p>
        </c:rich>
      </c:tx>
      <c:layout/>
    </c:title>
    <c:plotArea>
      <c:layout/>
      <c:lineChart>
        <c:grouping val="stacked"/>
        <c:ser>
          <c:idx val="0"/>
          <c:order val="0"/>
          <c:tx>
            <c:strRef>
              <c:f>graf!$I$3</c:f>
              <c:strCache>
                <c:ptCount val="1"/>
                <c:pt idx="0">
                  <c:v>Exportação</c:v>
                </c:pt>
              </c:strCache>
            </c:strRef>
          </c:tx>
          <c:spPr>
            <a:ln w="28440">
              <a:solidFill>
                <a:srgbClr val="3D97AF"/>
              </a:solidFill>
              <a:round/>
            </a:ln>
          </c:spPr>
          <c:marker>
            <c:symbol val="none"/>
          </c:marker>
          <c:cat>
            <c:strRef>
              <c:f>graf!$H$4:$H$49</c:f>
              <c:strCache>
                <c:ptCount val="46"/>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pt idx="12">
                  <c:v>Janeiro</c:v>
                </c:pt>
                <c:pt idx="13">
                  <c:v>Fevereiro</c:v>
                </c:pt>
                <c:pt idx="14">
                  <c:v>Março</c:v>
                </c:pt>
                <c:pt idx="15">
                  <c:v>Abril</c:v>
                </c:pt>
                <c:pt idx="16">
                  <c:v>Maio</c:v>
                </c:pt>
                <c:pt idx="17">
                  <c:v>Junho</c:v>
                </c:pt>
                <c:pt idx="18">
                  <c:v>Julho</c:v>
                </c:pt>
                <c:pt idx="19">
                  <c:v>Agosto</c:v>
                </c:pt>
                <c:pt idx="20">
                  <c:v>Setembro</c:v>
                </c:pt>
                <c:pt idx="21">
                  <c:v>Outubro</c:v>
                </c:pt>
                <c:pt idx="22">
                  <c:v>Novembro</c:v>
                </c:pt>
                <c:pt idx="23">
                  <c:v>Dezembro</c:v>
                </c:pt>
                <c:pt idx="24">
                  <c:v>Janeiro</c:v>
                </c:pt>
                <c:pt idx="25">
                  <c:v>Fevereiro</c:v>
                </c:pt>
                <c:pt idx="26">
                  <c:v>Março</c:v>
                </c:pt>
                <c:pt idx="27">
                  <c:v>Abril</c:v>
                </c:pt>
                <c:pt idx="28">
                  <c:v>Maio</c:v>
                </c:pt>
                <c:pt idx="29">
                  <c:v>Junho</c:v>
                </c:pt>
                <c:pt idx="30">
                  <c:v>Julho</c:v>
                </c:pt>
                <c:pt idx="31">
                  <c:v>Agosto</c:v>
                </c:pt>
                <c:pt idx="32">
                  <c:v>Setembro</c:v>
                </c:pt>
                <c:pt idx="33">
                  <c:v>Outubro</c:v>
                </c:pt>
                <c:pt idx="34">
                  <c:v>Novembro</c:v>
                </c:pt>
                <c:pt idx="35">
                  <c:v>Dezembro</c:v>
                </c:pt>
                <c:pt idx="36">
                  <c:v>Janeiro</c:v>
                </c:pt>
                <c:pt idx="37">
                  <c:v>Fevereiro</c:v>
                </c:pt>
                <c:pt idx="38">
                  <c:v>Março</c:v>
                </c:pt>
                <c:pt idx="39">
                  <c:v>Abril</c:v>
                </c:pt>
                <c:pt idx="40">
                  <c:v>Maio</c:v>
                </c:pt>
                <c:pt idx="41">
                  <c:v>Junho</c:v>
                </c:pt>
                <c:pt idx="42">
                  <c:v>Julho</c:v>
                </c:pt>
                <c:pt idx="43">
                  <c:v>Agosto</c:v>
                </c:pt>
                <c:pt idx="44">
                  <c:v>Setembro</c:v>
                </c:pt>
                <c:pt idx="45">
                  <c:v>Outubro</c:v>
                </c:pt>
              </c:strCache>
            </c:strRef>
          </c:cat>
          <c:val>
            <c:numRef>
              <c:f>graf!$I$4:$I$49</c:f>
              <c:numCache>
                <c:formatCode>0.00</c:formatCode>
                <c:ptCount val="46"/>
                <c:pt idx="0">
                  <c:v>9.02</c:v>
                </c:pt>
                <c:pt idx="1">
                  <c:v>7.82</c:v>
                </c:pt>
                <c:pt idx="2">
                  <c:v>9.5299999999999994</c:v>
                </c:pt>
                <c:pt idx="3">
                  <c:v>9.15</c:v>
                </c:pt>
                <c:pt idx="4">
                  <c:v>8.33</c:v>
                </c:pt>
                <c:pt idx="5">
                  <c:v>17.14</c:v>
                </c:pt>
                <c:pt idx="6">
                  <c:v>9.1199999999999992</c:v>
                </c:pt>
                <c:pt idx="7" formatCode="#,##0.00">
                  <c:v>11.15</c:v>
                </c:pt>
                <c:pt idx="8">
                  <c:v>12.43</c:v>
                </c:pt>
                <c:pt idx="9">
                  <c:v>15.26</c:v>
                </c:pt>
                <c:pt idx="10">
                  <c:v>14.396511</c:v>
                </c:pt>
                <c:pt idx="11">
                  <c:v>17.511866999999999</c:v>
                </c:pt>
                <c:pt idx="12">
                  <c:v>13.96</c:v>
                </c:pt>
                <c:pt idx="13">
                  <c:v>16.87</c:v>
                </c:pt>
                <c:pt idx="14">
                  <c:v>17.79</c:v>
                </c:pt>
                <c:pt idx="15">
                  <c:v>17.02</c:v>
                </c:pt>
                <c:pt idx="16">
                  <c:v>14.04</c:v>
                </c:pt>
                <c:pt idx="17" formatCode="#,##0.00">
                  <c:v>24.77</c:v>
                </c:pt>
                <c:pt idx="18" formatCode="General">
                  <c:v>24.45</c:v>
                </c:pt>
                <c:pt idx="19">
                  <c:v>17.66</c:v>
                </c:pt>
                <c:pt idx="20">
                  <c:v>23.94</c:v>
                </c:pt>
                <c:pt idx="21" formatCode="General">
                  <c:v>20.78</c:v>
                </c:pt>
                <c:pt idx="22">
                  <c:v>18.261787999999999</c:v>
                </c:pt>
                <c:pt idx="23">
                  <c:v>24.377549999999999</c:v>
                </c:pt>
                <c:pt idx="24">
                  <c:v>20.125330999999999</c:v>
                </c:pt>
                <c:pt idx="25" formatCode="General">
                  <c:v>24.85</c:v>
                </c:pt>
                <c:pt idx="26" formatCode="General">
                  <c:v>25.38</c:v>
                </c:pt>
                <c:pt idx="27" formatCode="General">
                  <c:v>34.08</c:v>
                </c:pt>
                <c:pt idx="28" formatCode="General">
                  <c:v>31.91</c:v>
                </c:pt>
                <c:pt idx="29" formatCode="General">
                  <c:v>31.99</c:v>
                </c:pt>
                <c:pt idx="30" formatCode="General">
                  <c:v>28.45</c:v>
                </c:pt>
                <c:pt idx="31" formatCode="General">
                  <c:v>33.86</c:v>
                </c:pt>
                <c:pt idx="32" formatCode="General">
                  <c:v>27.2</c:v>
                </c:pt>
                <c:pt idx="33" formatCode="General">
                  <c:v>30.87</c:v>
                </c:pt>
                <c:pt idx="34">
                  <c:v>31.791574000000001</c:v>
                </c:pt>
                <c:pt idx="35">
                  <c:v>24.159132</c:v>
                </c:pt>
                <c:pt idx="36">
                  <c:v>26.117481000000002</c:v>
                </c:pt>
                <c:pt idx="37">
                  <c:v>20.38232</c:v>
                </c:pt>
                <c:pt idx="38">
                  <c:v>33.441417000000001</c:v>
                </c:pt>
                <c:pt idx="39">
                  <c:v>25.406309</c:v>
                </c:pt>
                <c:pt idx="40">
                  <c:v>30.969881000000001</c:v>
                </c:pt>
                <c:pt idx="41">
                  <c:v>20.770347000000001</c:v>
                </c:pt>
                <c:pt idx="42">
                  <c:v>19.539159999999999</c:v>
                </c:pt>
                <c:pt idx="43">
                  <c:v>20.915603000000004</c:v>
                </c:pt>
                <c:pt idx="44">
                  <c:v>20.272762</c:v>
                </c:pt>
                <c:pt idx="45">
                  <c:v>27.178172000000018</c:v>
                </c:pt>
              </c:numCache>
            </c:numRef>
          </c:val>
        </c:ser>
        <c:ser>
          <c:idx val="1"/>
          <c:order val="1"/>
          <c:tx>
            <c:strRef>
              <c:f>graf!$J$3</c:f>
              <c:strCache>
                <c:ptCount val="1"/>
                <c:pt idx="0">
                  <c:v>Importação</c:v>
                </c:pt>
              </c:strCache>
            </c:strRef>
          </c:tx>
          <c:spPr>
            <a:ln w="28440">
              <a:solidFill>
                <a:srgbClr val="8CBFD2"/>
              </a:solidFill>
              <a:round/>
            </a:ln>
          </c:spPr>
          <c:marker>
            <c:symbol val="none"/>
          </c:marker>
          <c:cat>
            <c:strRef>
              <c:f>graf!$H$4:$H$49</c:f>
              <c:strCache>
                <c:ptCount val="46"/>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pt idx="12">
                  <c:v>Janeiro</c:v>
                </c:pt>
                <c:pt idx="13">
                  <c:v>Fevereiro</c:v>
                </c:pt>
                <c:pt idx="14">
                  <c:v>Março</c:v>
                </c:pt>
                <c:pt idx="15">
                  <c:v>Abril</c:v>
                </c:pt>
                <c:pt idx="16">
                  <c:v>Maio</c:v>
                </c:pt>
                <c:pt idx="17">
                  <c:v>Junho</c:v>
                </c:pt>
                <c:pt idx="18">
                  <c:v>Julho</c:v>
                </c:pt>
                <c:pt idx="19">
                  <c:v>Agosto</c:v>
                </c:pt>
                <c:pt idx="20">
                  <c:v>Setembro</c:v>
                </c:pt>
                <c:pt idx="21">
                  <c:v>Outubro</c:v>
                </c:pt>
                <c:pt idx="22">
                  <c:v>Novembro</c:v>
                </c:pt>
                <c:pt idx="23">
                  <c:v>Dezembro</c:v>
                </c:pt>
                <c:pt idx="24">
                  <c:v>Janeiro</c:v>
                </c:pt>
                <c:pt idx="25">
                  <c:v>Fevereiro</c:v>
                </c:pt>
                <c:pt idx="26">
                  <c:v>Março</c:v>
                </c:pt>
                <c:pt idx="27">
                  <c:v>Abril</c:v>
                </c:pt>
                <c:pt idx="28">
                  <c:v>Maio</c:v>
                </c:pt>
                <c:pt idx="29">
                  <c:v>Junho</c:v>
                </c:pt>
                <c:pt idx="30">
                  <c:v>Julho</c:v>
                </c:pt>
                <c:pt idx="31">
                  <c:v>Agosto</c:v>
                </c:pt>
                <c:pt idx="32">
                  <c:v>Setembro</c:v>
                </c:pt>
                <c:pt idx="33">
                  <c:v>Outubro</c:v>
                </c:pt>
                <c:pt idx="34">
                  <c:v>Novembro</c:v>
                </c:pt>
                <c:pt idx="35">
                  <c:v>Dezembro</c:v>
                </c:pt>
                <c:pt idx="36">
                  <c:v>Janeiro</c:v>
                </c:pt>
                <c:pt idx="37">
                  <c:v>Fevereiro</c:v>
                </c:pt>
                <c:pt idx="38">
                  <c:v>Março</c:v>
                </c:pt>
                <c:pt idx="39">
                  <c:v>Abril</c:v>
                </c:pt>
                <c:pt idx="40">
                  <c:v>Maio</c:v>
                </c:pt>
                <c:pt idx="41">
                  <c:v>Junho</c:v>
                </c:pt>
                <c:pt idx="42">
                  <c:v>Julho</c:v>
                </c:pt>
                <c:pt idx="43">
                  <c:v>Agosto</c:v>
                </c:pt>
                <c:pt idx="44">
                  <c:v>Setembro</c:v>
                </c:pt>
                <c:pt idx="45">
                  <c:v>Outubro</c:v>
                </c:pt>
              </c:strCache>
            </c:strRef>
          </c:cat>
          <c:val>
            <c:numRef>
              <c:f>graf!$J$4:$J$49</c:f>
              <c:numCache>
                <c:formatCode>0.00</c:formatCode>
                <c:ptCount val="46"/>
                <c:pt idx="0">
                  <c:v>2.58</c:v>
                </c:pt>
                <c:pt idx="1">
                  <c:v>0.86</c:v>
                </c:pt>
                <c:pt idx="2">
                  <c:v>0.79</c:v>
                </c:pt>
                <c:pt idx="3">
                  <c:v>1.34</c:v>
                </c:pt>
                <c:pt idx="4">
                  <c:v>-0.09</c:v>
                </c:pt>
                <c:pt idx="5">
                  <c:v>3.31</c:v>
                </c:pt>
                <c:pt idx="6">
                  <c:v>5.63</c:v>
                </c:pt>
                <c:pt idx="7" formatCode="#,##0.00">
                  <c:v>1.81</c:v>
                </c:pt>
                <c:pt idx="8">
                  <c:v>2.95</c:v>
                </c:pt>
                <c:pt idx="9">
                  <c:v>1.43</c:v>
                </c:pt>
                <c:pt idx="10">
                  <c:v>3.031936</c:v>
                </c:pt>
                <c:pt idx="11">
                  <c:v>1.8182119999999999</c:v>
                </c:pt>
                <c:pt idx="12">
                  <c:v>1.19</c:v>
                </c:pt>
                <c:pt idx="13">
                  <c:v>2.13</c:v>
                </c:pt>
                <c:pt idx="14">
                  <c:v>2.89</c:v>
                </c:pt>
                <c:pt idx="15">
                  <c:v>2.96</c:v>
                </c:pt>
                <c:pt idx="16">
                  <c:v>2.1800000000000002</c:v>
                </c:pt>
                <c:pt idx="17" formatCode="#,##0.00">
                  <c:v>4.8600000000000003</c:v>
                </c:pt>
                <c:pt idx="18" formatCode="General">
                  <c:v>5.82</c:v>
                </c:pt>
                <c:pt idx="19">
                  <c:v>5.45</c:v>
                </c:pt>
                <c:pt idx="20">
                  <c:v>4.33</c:v>
                </c:pt>
                <c:pt idx="21" formatCode="General">
                  <c:v>4.3600000000000003</c:v>
                </c:pt>
                <c:pt idx="22">
                  <c:v>5.607863</c:v>
                </c:pt>
                <c:pt idx="23">
                  <c:v>6.8183420000000003</c:v>
                </c:pt>
                <c:pt idx="24">
                  <c:v>6.591545</c:v>
                </c:pt>
                <c:pt idx="25" formatCode="General">
                  <c:v>3.33</c:v>
                </c:pt>
                <c:pt idx="26" formatCode="General">
                  <c:v>1.99</c:v>
                </c:pt>
                <c:pt idx="27" formatCode="General">
                  <c:v>2.04</c:v>
                </c:pt>
                <c:pt idx="28" formatCode="General">
                  <c:v>6.28</c:v>
                </c:pt>
                <c:pt idx="29" formatCode="General">
                  <c:v>4.1100000000000003</c:v>
                </c:pt>
                <c:pt idx="30" formatCode="General">
                  <c:v>3.76</c:v>
                </c:pt>
                <c:pt idx="31" formatCode="General">
                  <c:v>6.53</c:v>
                </c:pt>
                <c:pt idx="32" formatCode="General">
                  <c:v>5.96</c:v>
                </c:pt>
                <c:pt idx="33" formatCode="General">
                  <c:v>3.19</c:v>
                </c:pt>
                <c:pt idx="34">
                  <c:v>1.981212</c:v>
                </c:pt>
                <c:pt idx="35">
                  <c:v>5.0237519999999902</c:v>
                </c:pt>
                <c:pt idx="36">
                  <c:v>2.7139139999999999</c:v>
                </c:pt>
                <c:pt idx="37">
                  <c:v>4.4852420000000004</c:v>
                </c:pt>
                <c:pt idx="38">
                  <c:v>5.1778279999999999</c:v>
                </c:pt>
                <c:pt idx="39">
                  <c:v>2.0749789999999999</c:v>
                </c:pt>
                <c:pt idx="40">
                  <c:v>6.3211349999999999</c:v>
                </c:pt>
                <c:pt idx="41">
                  <c:v>2.4054199999999999</c:v>
                </c:pt>
                <c:pt idx="42">
                  <c:v>9.3087099999999996</c:v>
                </c:pt>
                <c:pt idx="43">
                  <c:v>4.6179670000000002</c:v>
                </c:pt>
                <c:pt idx="44">
                  <c:v>5.1182360000000031</c:v>
                </c:pt>
                <c:pt idx="45">
                  <c:v>10.536375999999997</c:v>
                </c:pt>
              </c:numCache>
            </c:numRef>
          </c:val>
        </c:ser>
        <c:marker val="1"/>
        <c:axId val="147157760"/>
        <c:axId val="147159296"/>
      </c:lineChart>
      <c:catAx>
        <c:axId val="147157760"/>
        <c:scaling>
          <c:orientation val="minMax"/>
        </c:scaling>
        <c:axPos val="b"/>
        <c:tickLblPos val="nextTo"/>
        <c:spPr>
          <a:ln w="9360">
            <a:solidFill>
              <a:srgbClr val="878787"/>
            </a:solidFill>
            <a:round/>
          </a:ln>
        </c:spPr>
        <c:txPr>
          <a:bodyPr/>
          <a:lstStyle/>
          <a:p>
            <a:pPr>
              <a:defRPr lang="en-US"/>
            </a:pPr>
            <a:endParaRPr lang="pt-BR"/>
          </a:p>
        </c:txPr>
        <c:crossAx val="147159296"/>
        <c:crossesAt val="0"/>
        <c:auto val="1"/>
        <c:lblAlgn val="ctr"/>
        <c:lblOffset val="100"/>
      </c:catAx>
      <c:valAx>
        <c:axId val="147159296"/>
        <c:scaling>
          <c:orientation val="minMax"/>
          <c:min val="0"/>
        </c:scaling>
        <c:axPos val="l"/>
        <c:numFmt formatCode="0.00" sourceLinked="1"/>
        <c:tickLblPos val="nextTo"/>
        <c:spPr>
          <a:ln w="9360">
            <a:solidFill>
              <a:srgbClr val="878787"/>
            </a:solidFill>
            <a:round/>
          </a:ln>
        </c:spPr>
        <c:txPr>
          <a:bodyPr/>
          <a:lstStyle/>
          <a:p>
            <a:pPr>
              <a:defRPr lang="en-US"/>
            </a:pPr>
            <a:endParaRPr lang="pt-BR"/>
          </a:p>
        </c:txPr>
        <c:crossAx val="147157760"/>
        <c:crossesAt val="0"/>
        <c:crossBetween val="between"/>
      </c:valAx>
      <c:spPr>
        <a:solidFill>
          <a:srgbClr val="FFFFFF"/>
        </a:solidFill>
      </c:spPr>
    </c:plotArea>
    <c:legend>
      <c:legendPos val="b"/>
      <c:layout/>
      <c:txPr>
        <a:bodyPr/>
        <a:lstStyle/>
        <a:p>
          <a:pPr>
            <a:defRPr lang="en-US"/>
          </a:pPr>
          <a:endParaRPr lang="pt-BR"/>
        </a:p>
      </c:txPr>
    </c:legend>
    <c:plotVisOnly val="1"/>
  </c:chart>
  <c:spPr>
    <a:solidFill>
      <a:srgbClr val="FFFFFF"/>
    </a:solidFill>
    <a:ln w="9360">
      <a:solidFill>
        <a:srgbClr val="878787"/>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lang="en-US"/>
            </a:pPr>
            <a:r>
              <a:rPr sz="1200" b="1">
                <a:solidFill>
                  <a:srgbClr val="000000"/>
                </a:solidFill>
                <a:latin typeface="Calibri"/>
              </a:rPr>
              <a:t>Principais Produtos Exportados (%) Campo das Vertentes - Jan/out2011/12</a:t>
            </a:r>
          </a:p>
        </c:rich>
      </c:tx>
      <c:layout/>
    </c:title>
    <c:plotArea>
      <c:layout/>
      <c:barChart>
        <c:barDir val="bar"/>
        <c:grouping val="percentStacked"/>
        <c:ser>
          <c:idx val="0"/>
          <c:order val="0"/>
          <c:tx>
            <c:strRef>
              <c:f>mun!$Y$32</c:f>
              <c:strCache>
                <c:ptCount val="1"/>
                <c:pt idx="0">
                  <c:v>out/12</c:v>
                </c:pt>
              </c:strCache>
            </c:strRef>
          </c:tx>
          <c:spPr>
            <a:solidFill>
              <a:srgbClr val="4299B0"/>
            </a:solidFill>
          </c:spPr>
          <c:cat>
            <c:strRef>
              <c:f>mun!$X$33:$X$36</c:f>
              <c:strCache>
                <c:ptCount val="4"/>
                <c:pt idx="0">
                  <c:v>Minérios Metalúrgicos e Produtos</c:v>
                </c:pt>
                <c:pt idx="1">
                  <c:v>Alimentos</c:v>
                </c:pt>
                <c:pt idx="2">
                  <c:v>Veículos</c:v>
                </c:pt>
                <c:pt idx="3">
                  <c:v>D+ Produtos</c:v>
                </c:pt>
              </c:strCache>
            </c:strRef>
          </c:cat>
          <c:val>
            <c:numRef>
              <c:f>mun!$Y$33:$Y$36</c:f>
              <c:numCache>
                <c:formatCode>0.00</c:formatCode>
                <c:ptCount val="4"/>
                <c:pt idx="0">
                  <c:v>76.822184378588034</c:v>
                </c:pt>
                <c:pt idx="1">
                  <c:v>8.2679952034893418</c:v>
                </c:pt>
                <c:pt idx="2">
                  <c:v>15.402111591688181</c:v>
                </c:pt>
                <c:pt idx="3">
                  <c:v>1.21827338724835</c:v>
                </c:pt>
              </c:numCache>
            </c:numRef>
          </c:val>
        </c:ser>
        <c:ser>
          <c:idx val="1"/>
          <c:order val="1"/>
          <c:tx>
            <c:strRef>
              <c:f>mun!$Z$32</c:f>
              <c:strCache>
                <c:ptCount val="1"/>
                <c:pt idx="0">
                  <c:v>out/11</c:v>
                </c:pt>
              </c:strCache>
            </c:strRef>
          </c:tx>
          <c:spPr>
            <a:solidFill>
              <a:srgbClr val="92C3D5"/>
            </a:solidFill>
          </c:spPr>
          <c:cat>
            <c:strRef>
              <c:f>mun!$X$33:$X$36</c:f>
              <c:strCache>
                <c:ptCount val="4"/>
                <c:pt idx="0">
                  <c:v>Minérios Metalúrgicos e Produtos</c:v>
                </c:pt>
                <c:pt idx="1">
                  <c:v>Alimentos</c:v>
                </c:pt>
                <c:pt idx="2">
                  <c:v>Veículos</c:v>
                </c:pt>
                <c:pt idx="3">
                  <c:v>D+ Produtos</c:v>
                </c:pt>
              </c:strCache>
            </c:strRef>
          </c:cat>
          <c:val>
            <c:numRef>
              <c:f>mun!$Z$33:$Z$36</c:f>
              <c:numCache>
                <c:formatCode>0.00</c:formatCode>
                <c:ptCount val="4"/>
                <c:pt idx="0">
                  <c:v>73.291197306525845</c:v>
                </c:pt>
                <c:pt idx="1">
                  <c:v>10.518720667826512</c:v>
                </c:pt>
                <c:pt idx="2">
                  <c:v>17.343768324749682</c:v>
                </c:pt>
                <c:pt idx="3">
                  <c:v>21.957308550832298</c:v>
                </c:pt>
              </c:numCache>
            </c:numRef>
          </c:val>
        </c:ser>
        <c:gapWidth val="55"/>
        <c:overlap val="100"/>
        <c:axId val="147479168"/>
        <c:axId val="147489152"/>
      </c:barChart>
      <c:catAx>
        <c:axId val="147479168"/>
        <c:scaling>
          <c:orientation val="minMax"/>
        </c:scaling>
        <c:axPos val="b"/>
        <c:majorTickMark val="none"/>
        <c:tickLblPos val="nextTo"/>
        <c:spPr>
          <a:ln w="9360">
            <a:solidFill>
              <a:srgbClr val="878787"/>
            </a:solidFill>
            <a:round/>
          </a:ln>
        </c:spPr>
        <c:txPr>
          <a:bodyPr/>
          <a:lstStyle/>
          <a:p>
            <a:pPr>
              <a:defRPr lang="en-US"/>
            </a:pPr>
            <a:endParaRPr lang="pt-BR"/>
          </a:p>
        </c:txPr>
        <c:crossAx val="147489152"/>
        <c:crossesAt val="0"/>
        <c:auto val="1"/>
        <c:lblAlgn val="ctr"/>
        <c:lblOffset val="100"/>
      </c:catAx>
      <c:valAx>
        <c:axId val="147489152"/>
        <c:scaling>
          <c:orientation val="minMax"/>
        </c:scaling>
        <c:axPos val="l"/>
        <c:majorGridlines>
          <c:spPr>
            <a:ln w="9360">
              <a:solidFill>
                <a:srgbClr val="878787"/>
              </a:solidFill>
              <a:round/>
            </a:ln>
          </c:spPr>
        </c:majorGridlines>
        <c:numFmt formatCode="0%" sourceLinked="1"/>
        <c:majorTickMark val="none"/>
        <c:tickLblPos val="nextTo"/>
        <c:spPr>
          <a:ln w="9360">
            <a:solidFill>
              <a:srgbClr val="878787"/>
            </a:solidFill>
            <a:round/>
          </a:ln>
        </c:spPr>
        <c:txPr>
          <a:bodyPr/>
          <a:lstStyle/>
          <a:p>
            <a:pPr>
              <a:defRPr lang="en-US"/>
            </a:pPr>
            <a:endParaRPr lang="pt-BR"/>
          </a:p>
        </c:txPr>
        <c:crossAx val="147479168"/>
        <c:crossesAt val="0"/>
        <c:crossBetween val="between"/>
      </c:valAx>
      <c:spPr>
        <a:solidFill>
          <a:srgbClr val="FFFFFF"/>
        </a:solidFill>
      </c:spPr>
    </c:plotArea>
    <c:legend>
      <c:legendPos val="r"/>
      <c:layout/>
      <c:txPr>
        <a:bodyPr/>
        <a:lstStyle/>
        <a:p>
          <a:pPr>
            <a:defRPr lang="en-US"/>
          </a:pPr>
          <a:endParaRPr lang="pt-BR"/>
        </a:p>
      </c:txPr>
    </c:legend>
    <c:plotVisOnly val="1"/>
  </c:chart>
  <c:spPr>
    <a:solidFill>
      <a:srgbClr val="FFFFFF"/>
    </a:solidFill>
    <a:ln w="9360">
      <a:solidFill>
        <a:srgbClr val="878787"/>
      </a:solidFill>
      <a:round/>
    </a:ln>
  </c:sp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878</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CURSO:</vt:lpstr>
    </vt:vector>
  </TitlesOfParts>
  <Company>Microsoft</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dc:title>
  <dc:creator>Cliente</dc:creator>
  <cp:lastModifiedBy>user</cp:lastModifiedBy>
  <cp:revision>5</cp:revision>
  <cp:lastPrinted>2011-07-06T12:31:00Z</cp:lastPrinted>
  <dcterms:created xsi:type="dcterms:W3CDTF">2012-11-22T22:19:00Z</dcterms:created>
  <dcterms:modified xsi:type="dcterms:W3CDTF">2012-11-22T22:38:00Z</dcterms:modified>
</cp:coreProperties>
</file>