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9C13F" w14:textId="659B76FB" w:rsidR="0098199D" w:rsidRDefault="0098199D" w:rsidP="0098199D">
      <w:pPr>
        <w:spacing w:before="137" w:line="240" w:lineRule="auto"/>
        <w:jc w:val="center"/>
        <w:rPr>
          <w:rFonts w:cs="Arial"/>
          <w:color w:val="0000FF"/>
          <w:szCs w:val="24"/>
        </w:rPr>
      </w:pPr>
    </w:p>
    <w:bookmarkStart w:id="0" w:name="_Toc168316467"/>
    <w:p w14:paraId="261B8D69" w14:textId="0A0CADB8" w:rsidR="00E76A94" w:rsidRDefault="00E4116D" w:rsidP="00E76A94">
      <w:pPr>
        <w:pStyle w:val="Ttulo2"/>
        <w:spacing w:after="0" w:afterAutospacing="0"/>
        <w:rPr>
          <w:b w:val="0"/>
          <w:bCs w:val="0"/>
          <w:szCs w:val="24"/>
        </w:rPr>
      </w:pPr>
      <w:sdt>
        <w:sdtPr>
          <w:tag w:val="goog_rdk_67"/>
          <w:id w:val="-361858"/>
          <w:showingPlcHdr/>
        </w:sdtPr>
        <w:sdtEndPr/>
        <w:sdtContent>
          <w:r w:rsidR="00E76A94">
            <w:t xml:space="preserve">     </w:t>
          </w:r>
        </w:sdtContent>
      </w:sdt>
      <w:commentRangeStart w:id="1"/>
      <w:r w:rsidR="00EB6CEF" w:rsidRPr="00773B4A">
        <w:rPr>
          <w:szCs w:val="24"/>
        </w:rPr>
        <w:t xml:space="preserve">Relatório para </w:t>
      </w:r>
      <w:r w:rsidR="008B7025">
        <w:rPr>
          <w:szCs w:val="24"/>
        </w:rPr>
        <w:t>t</w:t>
      </w:r>
      <w:r w:rsidR="00EB6CEF" w:rsidRPr="00773B4A">
        <w:rPr>
          <w:szCs w:val="24"/>
        </w:rPr>
        <w:t xml:space="preserve">ermo </w:t>
      </w:r>
      <w:r w:rsidR="008B7025">
        <w:rPr>
          <w:szCs w:val="24"/>
        </w:rPr>
        <w:t>a</w:t>
      </w:r>
      <w:r w:rsidR="00EB6CEF" w:rsidRPr="00773B4A">
        <w:rPr>
          <w:szCs w:val="24"/>
        </w:rPr>
        <w:t xml:space="preserve">ditivo de </w:t>
      </w:r>
      <w:r w:rsidR="008B7025">
        <w:rPr>
          <w:szCs w:val="24"/>
        </w:rPr>
        <w:t>p</w:t>
      </w:r>
      <w:r w:rsidR="00EB6CEF" w:rsidRPr="00773B4A">
        <w:rPr>
          <w:szCs w:val="24"/>
        </w:rPr>
        <w:t xml:space="preserve">rorrogação </w:t>
      </w:r>
      <w:r w:rsidR="00EB6CEF" w:rsidRPr="0026169B">
        <w:rPr>
          <w:szCs w:val="24"/>
        </w:rPr>
        <w:t xml:space="preserve">de </w:t>
      </w:r>
      <w:r w:rsidR="008B7025" w:rsidRPr="0026169B">
        <w:rPr>
          <w:bCs w:val="0"/>
          <w:szCs w:val="24"/>
        </w:rPr>
        <w:t>c</w:t>
      </w:r>
      <w:r w:rsidR="00EB6CEF" w:rsidRPr="0026169B">
        <w:rPr>
          <w:bCs w:val="0"/>
          <w:szCs w:val="24"/>
        </w:rPr>
        <w:t>ontrato</w:t>
      </w:r>
      <w:r w:rsidR="008B7025" w:rsidRPr="008B7025">
        <w:rPr>
          <w:b w:val="0"/>
          <w:bCs w:val="0"/>
          <w:szCs w:val="24"/>
        </w:rPr>
        <w:t xml:space="preserve"> </w:t>
      </w:r>
      <w:commentRangeEnd w:id="1"/>
      <w:r w:rsidR="00DF390C">
        <w:rPr>
          <w:rStyle w:val="Refdecomentrio"/>
          <w:rFonts w:eastAsia="Times New Roman" w:cs="Times New Roman"/>
          <w:b w:val="0"/>
          <w:bCs w:val="0"/>
          <w:lang w:val="pt-PT"/>
        </w:rPr>
        <w:commentReference w:id="1"/>
      </w:r>
    </w:p>
    <w:p w14:paraId="0A673BDC" w14:textId="5C444D42" w:rsidR="00EB6CEF" w:rsidRDefault="00EB6CEF" w:rsidP="00E76A94">
      <w:pPr>
        <w:pStyle w:val="Ttulo2"/>
        <w:spacing w:after="0" w:afterAutospacing="0"/>
        <w:rPr>
          <w:b w:val="0"/>
          <w:bCs w:val="0"/>
          <w:color w:val="0000FF"/>
          <w:szCs w:val="24"/>
        </w:rPr>
      </w:pPr>
      <w:r w:rsidRPr="008B7025">
        <w:rPr>
          <w:b w:val="0"/>
          <w:bCs w:val="0"/>
          <w:color w:val="0000FF"/>
          <w:szCs w:val="24"/>
        </w:rPr>
        <w:t xml:space="preserve">(para contratos sob a Lei nº </w:t>
      </w:r>
      <w:r w:rsidR="00FD6FFB">
        <w:rPr>
          <w:b w:val="0"/>
          <w:bCs w:val="0"/>
          <w:color w:val="0000FF"/>
          <w:szCs w:val="24"/>
        </w:rPr>
        <w:t>14.133/2021</w:t>
      </w:r>
      <w:r w:rsidRPr="008B7025">
        <w:rPr>
          <w:b w:val="0"/>
          <w:bCs w:val="0"/>
          <w:color w:val="0000FF"/>
          <w:szCs w:val="24"/>
        </w:rPr>
        <w:t>)</w:t>
      </w:r>
      <w:bookmarkEnd w:id="0"/>
    </w:p>
    <w:p w14:paraId="7B00B326" w14:textId="77777777" w:rsidR="00E76A94" w:rsidRPr="00E76A94" w:rsidRDefault="00E76A94" w:rsidP="00E76A94">
      <w:pPr>
        <w:rPr>
          <w:lang w:val="pt-BR"/>
        </w:rPr>
      </w:pPr>
    </w:p>
    <w:tbl>
      <w:tblPr>
        <w:tblStyle w:val="35"/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811"/>
      </w:tblGrid>
      <w:tr w:rsidR="00EB6CEF" w:rsidRPr="003C1BEA" w14:paraId="778A3C85" w14:textId="77777777" w:rsidTr="00AB3E34">
        <w:trPr>
          <w:trHeight w:val="316"/>
        </w:trPr>
        <w:tc>
          <w:tcPr>
            <w:tcW w:w="2977" w:type="dxa"/>
            <w:shd w:val="clear" w:color="auto" w:fill="BEBEBE"/>
          </w:tcPr>
          <w:p w14:paraId="35701AB3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Contrato nº</w:t>
            </w:r>
          </w:p>
        </w:tc>
        <w:tc>
          <w:tcPr>
            <w:tcW w:w="5811" w:type="dxa"/>
          </w:tcPr>
          <w:p w14:paraId="28BD0C36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22745910" w14:textId="77777777" w:rsidTr="00AB3E34">
        <w:trPr>
          <w:trHeight w:val="318"/>
        </w:trPr>
        <w:tc>
          <w:tcPr>
            <w:tcW w:w="2977" w:type="dxa"/>
            <w:shd w:val="clear" w:color="auto" w:fill="BEBEBE"/>
          </w:tcPr>
          <w:p w14:paraId="0D40B068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Pregão Eletrônico nº</w:t>
            </w:r>
          </w:p>
        </w:tc>
        <w:tc>
          <w:tcPr>
            <w:tcW w:w="5811" w:type="dxa"/>
          </w:tcPr>
          <w:p w14:paraId="05BC4373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08BB05C5" w14:textId="77777777" w:rsidTr="00AB3E34">
        <w:trPr>
          <w:trHeight w:val="316"/>
        </w:trPr>
        <w:tc>
          <w:tcPr>
            <w:tcW w:w="2977" w:type="dxa"/>
            <w:shd w:val="clear" w:color="auto" w:fill="BEBEBE"/>
          </w:tcPr>
          <w:p w14:paraId="64897CD3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Processo n°</w:t>
            </w:r>
          </w:p>
        </w:tc>
        <w:tc>
          <w:tcPr>
            <w:tcW w:w="5811" w:type="dxa"/>
          </w:tcPr>
          <w:p w14:paraId="09868578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7B601B5C" w14:textId="77777777" w:rsidTr="00AB3E34">
        <w:trPr>
          <w:trHeight w:val="316"/>
        </w:trPr>
        <w:tc>
          <w:tcPr>
            <w:tcW w:w="2977" w:type="dxa"/>
            <w:shd w:val="clear" w:color="auto" w:fill="BEBEBE"/>
          </w:tcPr>
          <w:p w14:paraId="09D8FA63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Vigência</w:t>
            </w:r>
          </w:p>
        </w:tc>
        <w:tc>
          <w:tcPr>
            <w:tcW w:w="5811" w:type="dxa"/>
          </w:tcPr>
          <w:p w14:paraId="640A54B2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61AA959C" w14:textId="77777777" w:rsidTr="00AB3E34">
        <w:trPr>
          <w:trHeight w:val="318"/>
        </w:trPr>
        <w:tc>
          <w:tcPr>
            <w:tcW w:w="2977" w:type="dxa"/>
            <w:shd w:val="clear" w:color="auto" w:fill="BEBEBE"/>
          </w:tcPr>
          <w:p w14:paraId="31068B70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Objeto</w:t>
            </w:r>
          </w:p>
        </w:tc>
        <w:tc>
          <w:tcPr>
            <w:tcW w:w="5811" w:type="dxa"/>
          </w:tcPr>
          <w:p w14:paraId="63201AA2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359F98F7" w14:textId="77777777" w:rsidTr="00AB3E34">
        <w:trPr>
          <w:trHeight w:val="314"/>
        </w:trPr>
        <w:tc>
          <w:tcPr>
            <w:tcW w:w="2977" w:type="dxa"/>
            <w:tcBorders>
              <w:bottom w:val="single" w:sz="6" w:space="0" w:color="000000"/>
            </w:tcBorders>
            <w:shd w:val="clear" w:color="auto" w:fill="BEBEBE"/>
          </w:tcPr>
          <w:p w14:paraId="683A7CED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Contratado</w:t>
            </w:r>
          </w:p>
        </w:tc>
        <w:tc>
          <w:tcPr>
            <w:tcW w:w="5811" w:type="dxa"/>
            <w:tcBorders>
              <w:bottom w:val="single" w:sz="6" w:space="0" w:color="000000"/>
            </w:tcBorders>
          </w:tcPr>
          <w:p w14:paraId="26D78896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  <w:tr w:rsidR="00EB6CEF" w:rsidRPr="003C1BEA" w14:paraId="4EC9718E" w14:textId="77777777" w:rsidTr="00AB3E34">
        <w:trPr>
          <w:trHeight w:val="316"/>
        </w:trPr>
        <w:tc>
          <w:tcPr>
            <w:tcW w:w="2977" w:type="dxa"/>
            <w:tcBorders>
              <w:top w:val="single" w:sz="6" w:space="0" w:color="000000"/>
            </w:tcBorders>
            <w:shd w:val="clear" w:color="auto" w:fill="BEBEBE"/>
          </w:tcPr>
          <w:p w14:paraId="46BC1798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  <w:r w:rsidRPr="003C1BEA">
              <w:rPr>
                <w:rFonts w:cs="Arial"/>
                <w:color w:val="000009"/>
                <w:szCs w:val="24"/>
              </w:rPr>
              <w:t>CNPJ</w:t>
            </w:r>
          </w:p>
        </w:tc>
        <w:tc>
          <w:tcPr>
            <w:tcW w:w="5811" w:type="dxa"/>
            <w:tcBorders>
              <w:top w:val="single" w:sz="6" w:space="0" w:color="000000"/>
            </w:tcBorders>
          </w:tcPr>
          <w:p w14:paraId="38E1F038" w14:textId="77777777" w:rsidR="00EB6CEF" w:rsidRPr="003C1BEA" w:rsidRDefault="00EB6CEF" w:rsidP="0026169B">
            <w:pPr>
              <w:spacing w:line="276" w:lineRule="auto"/>
              <w:ind w:left="426"/>
              <w:rPr>
                <w:rFonts w:cs="Arial"/>
                <w:szCs w:val="24"/>
              </w:rPr>
            </w:pPr>
          </w:p>
        </w:tc>
      </w:tr>
    </w:tbl>
    <w:p w14:paraId="21162CEE" w14:textId="77777777" w:rsidR="00EB6CEF" w:rsidRPr="003C1BEA" w:rsidRDefault="00EB6CEF" w:rsidP="00EB6CEF">
      <w:pPr>
        <w:ind w:left="426" w:right="20" w:firstLine="598"/>
        <w:jc w:val="both"/>
        <w:rPr>
          <w:rFonts w:cs="Arial"/>
          <w:szCs w:val="24"/>
        </w:rPr>
      </w:pPr>
    </w:p>
    <w:p w14:paraId="6AC65FDB" w14:textId="0098B955" w:rsidR="00EB6CEF" w:rsidRDefault="00EB6CEF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 w:rsidRPr="003C1BEA">
        <w:rPr>
          <w:rFonts w:cs="Arial"/>
          <w:szCs w:val="24"/>
        </w:rPr>
        <w:t>Solicit</w:t>
      </w:r>
      <w:r>
        <w:rPr>
          <w:rFonts w:cs="Arial"/>
          <w:szCs w:val="24"/>
        </w:rPr>
        <w:t>a-se</w:t>
      </w:r>
      <w:r w:rsidRPr="003C1BEA">
        <w:rPr>
          <w:rFonts w:cs="Arial"/>
          <w:szCs w:val="24"/>
        </w:rPr>
        <w:t xml:space="preserve"> termo aditivo visando a prorrogação do prazo de vigência do contrato</w:t>
      </w:r>
      <w:r>
        <w:rPr>
          <w:rFonts w:cs="Arial"/>
          <w:szCs w:val="24"/>
        </w:rPr>
        <w:t xml:space="preserve"> em epígrafe</w:t>
      </w:r>
      <w:r w:rsidRPr="003C1BEA">
        <w:rPr>
          <w:rFonts w:cs="Arial"/>
          <w:szCs w:val="24"/>
        </w:rPr>
        <w:t xml:space="preserve"> por </w:t>
      </w:r>
      <w:r w:rsidRPr="002A24A2">
        <w:rPr>
          <w:rFonts w:cs="Arial"/>
          <w:color w:val="FF0000"/>
          <w:szCs w:val="24"/>
        </w:rPr>
        <w:t>xx</w:t>
      </w:r>
      <w:r w:rsidRPr="003C1BEA">
        <w:rPr>
          <w:rFonts w:cs="Arial"/>
          <w:color w:val="0000FF"/>
          <w:szCs w:val="24"/>
        </w:rPr>
        <w:t xml:space="preserve"> </w:t>
      </w:r>
      <w:r w:rsidRPr="003C1BEA">
        <w:rPr>
          <w:rFonts w:cs="Arial"/>
          <w:szCs w:val="24"/>
        </w:rPr>
        <w:t xml:space="preserve">meses, de </w:t>
      </w:r>
      <w:r w:rsidRPr="002A24A2">
        <w:rPr>
          <w:rFonts w:cs="Arial"/>
          <w:color w:val="FF0000"/>
          <w:szCs w:val="24"/>
        </w:rPr>
        <w:t xml:space="preserve">xx/xx/20xx </w:t>
      </w:r>
      <w:r w:rsidRPr="002A24A2">
        <w:rPr>
          <w:rFonts w:cs="Arial"/>
          <w:color w:val="000000" w:themeColor="text1"/>
          <w:szCs w:val="24"/>
        </w:rPr>
        <w:t>até</w:t>
      </w:r>
      <w:r w:rsidRPr="003C1BEA">
        <w:rPr>
          <w:rFonts w:cs="Arial"/>
          <w:color w:val="0000FF"/>
          <w:szCs w:val="24"/>
        </w:rPr>
        <w:t xml:space="preserve"> </w:t>
      </w:r>
      <w:r w:rsidRPr="002A24A2">
        <w:rPr>
          <w:rFonts w:cs="Arial"/>
          <w:color w:val="FF0000"/>
          <w:szCs w:val="24"/>
        </w:rPr>
        <w:t>xx/xx/20xx.</w:t>
      </w:r>
    </w:p>
    <w:p w14:paraId="575833A4" w14:textId="6C27D340" w:rsidR="00EB6CEF" w:rsidRPr="00FD6FFB" w:rsidRDefault="00FD6FFB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>
        <w:rPr>
          <w:rFonts w:cs="Arial"/>
          <w:szCs w:val="24"/>
        </w:rPr>
        <w:t>De</w:t>
      </w:r>
      <w:r w:rsidR="00EB6CEF">
        <w:rPr>
          <w:rFonts w:cs="Arial"/>
          <w:szCs w:val="24"/>
        </w:rPr>
        <w:t xml:space="preserve"> </w:t>
      </w:r>
      <w:r w:rsidRPr="00FD6FFB">
        <w:rPr>
          <w:rFonts w:cs="Arial"/>
          <w:szCs w:val="24"/>
        </w:rPr>
        <w:t>acordo com a Lei nº 14.133/2021 o</w:t>
      </w:r>
      <w:r w:rsidRPr="00FD6FFB">
        <w:rPr>
          <w:rFonts w:cs="Arial"/>
          <w:szCs w:val="24"/>
          <w:lang w:val="pt-BR"/>
        </w:rPr>
        <w:t>s contratos de serviços e fornecimentos contínuos poderão ser prorrogados sucessivamente, respeitada a vigência máxima decenal, desde que haja previsão em edital e que a autoridade competente ateste que as condições e os preços permanecem vantajosos para a Administração, permitida a negociação com o contratado ou a extinção contratual sem ônus para qualquer das partes.</w:t>
      </w:r>
    </w:p>
    <w:p w14:paraId="4EE01D69" w14:textId="35306B23" w:rsidR="00FD6FFB" w:rsidRDefault="00FD6FFB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>
        <w:rPr>
          <w:rFonts w:cs="Arial"/>
          <w:szCs w:val="24"/>
        </w:rPr>
        <w:t xml:space="preserve">Ressalta-se </w:t>
      </w:r>
      <w:r w:rsidRPr="00FD6FFB">
        <w:rPr>
          <w:rFonts w:cs="Arial"/>
          <w:szCs w:val="24"/>
        </w:rPr>
        <w:t>que a IN SEGES/MP nº 05/2017 é aplicável, no que couber, aos procedimentos instaurados com vistas a prorrogação contratual nas contratações de serviços continuados, com arrimo na Lei nº 14.133/2021, por força da IN SEGES/ME nº 98/2022. Desta forma, a análise desta prorrogação observará os requisitos das legislações citadas</w:t>
      </w:r>
      <w:r>
        <w:rPr>
          <w:rFonts w:cs="Arial"/>
          <w:szCs w:val="24"/>
        </w:rPr>
        <w:t>.</w:t>
      </w:r>
    </w:p>
    <w:p w14:paraId="6DC207BF" w14:textId="67D536B9" w:rsidR="00EB6CEF" w:rsidRPr="00AA32F2" w:rsidRDefault="00EB6CEF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i/>
          <w:szCs w:val="24"/>
          <w:lang w:val="pt-BR"/>
        </w:rPr>
      </w:pPr>
      <w:r>
        <w:rPr>
          <w:rFonts w:cs="Arial"/>
          <w:szCs w:val="24"/>
        </w:rPr>
        <w:t>A Instrução Normativa nº 05 de 26 de maio de 2017, estabelece no anexo IX, itens 3 a 12, os critérios e requisitos a serem observados quando da prorrogação de contratos, os quais serão analisados neste termo</w:t>
      </w:r>
      <w:r w:rsidR="00BD1EAB">
        <w:rPr>
          <w:rFonts w:cs="Arial"/>
          <w:szCs w:val="24"/>
        </w:rPr>
        <w:t>, em consonância com o parecer referencial nº 02/2025/PF-UFSJ/PFUFSJ/PGF/AGU.</w:t>
      </w:r>
    </w:p>
    <w:p w14:paraId="79C28EEF" w14:textId="2D4B9449" w:rsidR="006A35E8" w:rsidRDefault="002D08DA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>
        <w:rPr>
          <w:rFonts w:cs="Arial"/>
          <w:b/>
          <w:szCs w:val="24"/>
        </w:rPr>
        <w:t>Manifestação quanto à inexistência de r</w:t>
      </w:r>
      <w:r w:rsidR="006A35E8" w:rsidRPr="006A35E8">
        <w:rPr>
          <w:rFonts w:cs="Arial"/>
          <w:b/>
          <w:szCs w:val="24"/>
        </w:rPr>
        <w:t>estrição de prorrogação</w:t>
      </w:r>
      <w:r w:rsidR="006A35E8">
        <w:rPr>
          <w:rFonts w:cs="Arial"/>
          <w:szCs w:val="24"/>
        </w:rPr>
        <w:t>:</w:t>
      </w:r>
    </w:p>
    <w:p w14:paraId="7BB91CD8" w14:textId="2ECB1BD6" w:rsidR="006A35E8" w:rsidRPr="006A35E8" w:rsidRDefault="006A35E8" w:rsidP="006A35E8">
      <w:pPr>
        <w:pStyle w:val="PargrafodaLista"/>
        <w:spacing w:after="240"/>
        <w:ind w:left="360" w:right="20"/>
        <w:rPr>
          <w:rFonts w:cs="Arial"/>
          <w:szCs w:val="24"/>
        </w:rPr>
      </w:pPr>
      <w:r w:rsidRPr="006A35E8">
        <w:rPr>
          <w:rFonts w:cs="Arial"/>
          <w:color w:val="0000FF"/>
          <w:szCs w:val="24"/>
        </w:rPr>
        <w:t xml:space="preserve">Considerando </w:t>
      </w:r>
      <w:r w:rsidR="00AA5455" w:rsidRPr="006A35E8">
        <w:rPr>
          <w:rFonts w:cs="Arial"/>
          <w:color w:val="0000FF"/>
          <w:szCs w:val="24"/>
        </w:rPr>
        <w:t xml:space="preserve">que o Ministério da Gestão e da Inovação em Serviços Públicos </w:t>
      </w:r>
      <w:r w:rsidR="00AA5455" w:rsidRPr="006A35E8">
        <w:rPr>
          <w:rFonts w:cs="Arial"/>
          <w:color w:val="0000FF"/>
          <w:szCs w:val="24"/>
        </w:rPr>
        <w:lastRenderedPageBreak/>
        <w:t>(MGI) tem editado normas para centralizar, suspender ou proibir determinadas contratações — como a Portaria nº 179/2019, revogada pela Portaria MGI nº 2.162/2024 —, o fiscal/responsável deverá, no momento da prorrogação, verificar se existe alguma portaria vigente que restrinja a prorrogação do contrato.</w:t>
      </w:r>
      <w:r w:rsidR="00AA5455" w:rsidRPr="006A35E8">
        <w:rPr>
          <w:rFonts w:cs="Arial"/>
          <w:color w:val="0000FF"/>
          <w:szCs w:val="24"/>
        </w:rPr>
        <w:br/>
        <w:t>Caso não haja norma restritiva, deve atestar expressamente essa inexistência ou, se houver, declarar que o serviço/fornecimento não está incluído no rol de restrições estabelecido pela norma vigente</w:t>
      </w:r>
      <w:r>
        <w:rPr>
          <w:rFonts w:cs="Arial"/>
          <w:szCs w:val="24"/>
        </w:rPr>
        <w:t>.</w:t>
      </w:r>
    </w:p>
    <w:p w14:paraId="5E241471" w14:textId="61E06D00" w:rsidR="00053D55" w:rsidRDefault="00BD1EAB" w:rsidP="00F54CA2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 w:rsidRPr="005731A8">
        <w:rPr>
          <w:rFonts w:cs="Arial"/>
          <w:b/>
          <w:szCs w:val="24"/>
        </w:rPr>
        <w:t xml:space="preserve">Manifestação sobre a </w:t>
      </w:r>
      <w:r w:rsidR="001C5104" w:rsidRPr="005731A8">
        <w:rPr>
          <w:rFonts w:cs="Arial"/>
          <w:b/>
          <w:szCs w:val="24"/>
        </w:rPr>
        <w:t>e</w:t>
      </w:r>
      <w:r w:rsidR="00392F10" w:rsidRPr="005731A8">
        <w:rPr>
          <w:rFonts w:cs="Arial"/>
          <w:b/>
          <w:szCs w:val="24"/>
        </w:rPr>
        <w:t>ssencialidade e o interesse público da</w:t>
      </w:r>
      <w:r w:rsidRPr="005731A8">
        <w:rPr>
          <w:rFonts w:cs="Arial"/>
          <w:b/>
          <w:szCs w:val="24"/>
        </w:rPr>
        <w:t xml:space="preserve"> renovação </w:t>
      </w:r>
      <w:r>
        <w:rPr>
          <w:rFonts w:cs="Arial"/>
          <w:b/>
          <w:szCs w:val="24"/>
        </w:rPr>
        <w:t>da presente</w:t>
      </w:r>
      <w:r w:rsidR="00392F10" w:rsidRPr="00BB2DB3">
        <w:rPr>
          <w:rFonts w:cs="Arial"/>
          <w:b/>
          <w:szCs w:val="24"/>
        </w:rPr>
        <w:t xml:space="preserve"> contratação</w:t>
      </w:r>
      <w:r w:rsidR="00392F10">
        <w:rPr>
          <w:rFonts w:cs="Arial"/>
          <w:szCs w:val="24"/>
        </w:rPr>
        <w:t xml:space="preserve"> </w:t>
      </w:r>
      <w:r w:rsidR="00392F10" w:rsidRPr="00053D55">
        <w:rPr>
          <w:rFonts w:cs="Arial"/>
          <w:szCs w:val="24"/>
        </w:rPr>
        <w:t xml:space="preserve">(Decreto nº 8.540/2015, </w:t>
      </w:r>
      <w:r w:rsidR="00392F10" w:rsidRPr="00053D55">
        <w:rPr>
          <w:rFonts w:cs="Arial"/>
          <w:bCs/>
          <w:szCs w:val="24"/>
        </w:rPr>
        <w:t>Item 3, letra “c” anexo IX, IN 05/2017)</w:t>
      </w:r>
      <w:r w:rsidR="00392F10" w:rsidRPr="00053D55">
        <w:rPr>
          <w:rFonts w:cs="Arial"/>
          <w:szCs w:val="24"/>
        </w:rPr>
        <w:t xml:space="preserve">: </w:t>
      </w:r>
    </w:p>
    <w:p w14:paraId="222BC5AD" w14:textId="77777777" w:rsidR="00EB2BD6" w:rsidRDefault="00EB2BD6" w:rsidP="00EB2BD6">
      <w:pPr>
        <w:pStyle w:val="PargrafodaLista"/>
        <w:spacing w:after="240"/>
        <w:ind w:right="20"/>
        <w:rPr>
          <w:rFonts w:cs="Arial"/>
          <w:color w:val="0000FF"/>
          <w:szCs w:val="24"/>
        </w:rPr>
      </w:pPr>
      <w:bookmarkStart w:id="3" w:name="_Hlk207273440"/>
      <w:r w:rsidRPr="00EB2BD6">
        <w:rPr>
          <w:rFonts w:cs="Arial"/>
          <w:szCs w:val="24"/>
        </w:rPr>
        <w:t>Nos termos do art. 3º do Decreto nº 8.540, de 09 de outubro de 2015, a prorrogação ou celebração de novos contratos pela Administração Pública deve estar sempre condicionada à essencialidade do objeto e ao relevante interesse público envolvido. Nesse sentido, a prestação dos serviços de [</w:t>
      </w:r>
      <w:r w:rsidRPr="00EB2BD6">
        <w:rPr>
          <w:rFonts w:cs="Arial"/>
          <w:color w:val="0000FF"/>
          <w:szCs w:val="24"/>
        </w:rPr>
        <w:t>descrever o objeto</w:t>
      </w:r>
      <w:r w:rsidRPr="00EB2BD6">
        <w:rPr>
          <w:rFonts w:cs="Arial"/>
          <w:szCs w:val="24"/>
        </w:rPr>
        <w:t xml:space="preserve">], no campus </w:t>
      </w:r>
      <w:r w:rsidRPr="00EB2BD6">
        <w:rPr>
          <w:rFonts w:cs="Arial"/>
          <w:color w:val="0000FF"/>
          <w:szCs w:val="24"/>
        </w:rPr>
        <w:t xml:space="preserve">[nome], </w:t>
      </w:r>
      <w:r w:rsidRPr="00EB2BD6">
        <w:rPr>
          <w:rFonts w:cs="Arial"/>
          <w:szCs w:val="24"/>
        </w:rPr>
        <w:t xml:space="preserve">revela-se essencial e de inequívoco interesse público, porquanto </w:t>
      </w:r>
      <w:r w:rsidRPr="00EB2BD6">
        <w:rPr>
          <w:rFonts w:cs="Arial"/>
          <w:color w:val="0000FF"/>
          <w:szCs w:val="24"/>
        </w:rPr>
        <w:t>[descrever a importância dos serviços].</w:t>
      </w:r>
    </w:p>
    <w:p w14:paraId="55EC1516" w14:textId="0ECBADF4" w:rsidR="00EB2BD6" w:rsidRDefault="00EB2BD6" w:rsidP="00EB2BD6">
      <w:pPr>
        <w:pStyle w:val="PargrafodaLista"/>
        <w:spacing w:after="240"/>
        <w:ind w:right="20"/>
        <w:rPr>
          <w:rFonts w:cs="Arial"/>
          <w:szCs w:val="24"/>
          <w:lang w:val="pt-BR"/>
        </w:rPr>
      </w:pPr>
      <w:r>
        <w:rPr>
          <w:rFonts w:cs="Arial"/>
          <w:szCs w:val="24"/>
        </w:rPr>
        <w:t xml:space="preserve">Trata-se, portanto, de um serviço contínuo cuja habitualidade é configurada pela necessidade de a atividade ser prestada mediante contratação de terceiros de modo permanente. </w:t>
      </w:r>
      <w:r w:rsidRPr="00EB2BD6">
        <w:rPr>
          <w:rFonts w:cs="Arial"/>
          <w:szCs w:val="24"/>
        </w:rPr>
        <w:t xml:space="preserve">Sua manutenção é indispensável para garantir o regular funcionamento das atividades finalísticas da UFSJ, cuja interrupção acarretaria prejuízos diretos ao interesse público e ao cumprimento </w:t>
      </w:r>
      <w:r w:rsidR="00DC5F6A">
        <w:rPr>
          <w:rFonts w:cs="Arial"/>
          <w:szCs w:val="24"/>
        </w:rPr>
        <w:t xml:space="preserve">da missão institucional. </w:t>
      </w:r>
    </w:p>
    <w:bookmarkEnd w:id="3"/>
    <w:p w14:paraId="6B000ADA" w14:textId="7E356554" w:rsidR="00392F10" w:rsidRPr="00A85351" w:rsidRDefault="00392F10" w:rsidP="00A85351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 w:rsidRPr="00A85351">
        <w:rPr>
          <w:rFonts w:cs="Arial"/>
          <w:b/>
          <w:szCs w:val="24"/>
          <w:u w:val="single"/>
        </w:rPr>
        <w:t>Requisitos da prorrogação</w:t>
      </w:r>
    </w:p>
    <w:p w14:paraId="041DA5B8" w14:textId="224BA085" w:rsidR="005E50A3" w:rsidRPr="005E50A3" w:rsidRDefault="00EB6CEF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392F10">
        <w:rPr>
          <w:rFonts w:cs="Arial"/>
          <w:b/>
          <w:szCs w:val="24"/>
          <w:u w:val="single"/>
        </w:rPr>
        <w:t xml:space="preserve">Caracterização dos serviços como </w:t>
      </w:r>
      <w:r w:rsidR="00B43CBD">
        <w:rPr>
          <w:rFonts w:cs="Arial"/>
          <w:b/>
          <w:szCs w:val="24"/>
          <w:u w:val="single"/>
        </w:rPr>
        <w:t>de natureza contínua</w:t>
      </w:r>
      <w:r w:rsidRPr="00392F10">
        <w:rPr>
          <w:rFonts w:cs="Arial"/>
          <w:szCs w:val="24"/>
        </w:rPr>
        <w:t xml:space="preserve"> </w:t>
      </w:r>
      <w:r w:rsidRPr="00053D55">
        <w:rPr>
          <w:rFonts w:cs="Arial"/>
          <w:bCs/>
          <w:szCs w:val="24"/>
        </w:rPr>
        <w:t>(Item 3, letra “a” anexo IX, IN 05/2017)</w:t>
      </w:r>
      <w:r w:rsidRPr="00392F10">
        <w:rPr>
          <w:rFonts w:cs="Arial"/>
          <w:b/>
          <w:bCs/>
          <w:szCs w:val="24"/>
        </w:rPr>
        <w:t xml:space="preserve"> </w:t>
      </w:r>
    </w:p>
    <w:p w14:paraId="73BB3745" w14:textId="77777777" w:rsidR="00C35CB6" w:rsidRDefault="000436E0" w:rsidP="00C35CB6">
      <w:pPr>
        <w:pStyle w:val="PargrafodaLista"/>
        <w:spacing w:after="240"/>
        <w:ind w:right="20"/>
        <w:rPr>
          <w:rFonts w:cs="Arial"/>
          <w:szCs w:val="24"/>
        </w:rPr>
      </w:pPr>
      <w:bookmarkStart w:id="4" w:name="_Hlk207273487"/>
      <w:r>
        <w:rPr>
          <w:rFonts w:cs="Arial"/>
          <w:szCs w:val="24"/>
        </w:rPr>
        <w:t xml:space="preserve">Conforme leciona Marçal Justen Filho, </w:t>
      </w:r>
      <w:r w:rsidRPr="000436E0">
        <w:rPr>
          <w:rFonts w:cs="Arial"/>
          <w:szCs w:val="24"/>
        </w:rPr>
        <w:t>“a identificação dos serviços de natureza contínua não se faz a partir do exame propriamente da atividade desenvolvida pelos particulares, como execução da prestação contratual. A continuidade do serviço retrata, na verdade, a permanência da necessidade pública a ser satisfeita”</w:t>
      </w:r>
      <w:r>
        <w:rPr>
          <w:rFonts w:cs="Arial"/>
          <w:szCs w:val="24"/>
        </w:rPr>
        <w:t xml:space="preserve"> (</w:t>
      </w:r>
      <w:r w:rsidRPr="000436E0">
        <w:rPr>
          <w:rFonts w:cs="Arial"/>
          <w:szCs w:val="24"/>
        </w:rPr>
        <w:t xml:space="preserve">JUSTEN FILHO, Marçal. Comentários à Lei de Licitações e Contratos Administrativos. 16ª ed. </w:t>
      </w:r>
      <w:r w:rsidRPr="000436E0">
        <w:rPr>
          <w:rFonts w:cs="Arial"/>
          <w:szCs w:val="24"/>
        </w:rPr>
        <w:lastRenderedPageBreak/>
        <w:t>São Paulo: RT, 2014, p. 949</w:t>
      </w:r>
      <w:r>
        <w:rPr>
          <w:rFonts w:cs="Arial"/>
          <w:szCs w:val="24"/>
        </w:rPr>
        <w:t xml:space="preserve">). </w:t>
      </w:r>
    </w:p>
    <w:p w14:paraId="45FC11DA" w14:textId="71736A20" w:rsidR="00C35CB6" w:rsidRPr="00C35CB6" w:rsidRDefault="00C35CB6" w:rsidP="00C35CB6">
      <w:pPr>
        <w:pStyle w:val="PargrafodaLista"/>
        <w:spacing w:after="240"/>
        <w:ind w:right="20"/>
        <w:rPr>
          <w:rFonts w:cs="Arial"/>
          <w:lang w:val="pt-BR"/>
        </w:rPr>
      </w:pPr>
      <w:r w:rsidRPr="00C35CB6">
        <w:rPr>
          <w:rFonts w:cs="Arial"/>
          <w:lang w:val="pt-BR"/>
        </w:rPr>
        <w:t xml:space="preserve">No caso em análise, evidencia-se o caráter de continuidade do serviço, uma vez que a prestação de </w:t>
      </w:r>
      <w:r w:rsidRPr="00C35CB6">
        <w:rPr>
          <w:rFonts w:cs="Arial"/>
          <w:color w:val="0000FF"/>
          <w:lang w:val="pt-BR"/>
        </w:rPr>
        <w:t>[descrever o objeto]</w:t>
      </w:r>
      <w:r w:rsidRPr="00C35CB6">
        <w:rPr>
          <w:rFonts w:cs="Arial"/>
          <w:lang w:val="pt-BR"/>
        </w:rPr>
        <w:t xml:space="preserve"> mostra-se indispensável ao regular funcionamento da Universidade Federal de São João del-Rei. Trata-se de objeto de natureza perene, e não eventual, cuja necessidade encontra respaldo na Portaria Normativa nº </w:t>
      </w:r>
      <w:r w:rsidRPr="00700B27">
        <w:rPr>
          <w:rFonts w:cs="Arial"/>
          <w:color w:val="FF0000"/>
          <w:lang w:val="pt-BR"/>
        </w:rPr>
        <w:t>XX</w:t>
      </w:r>
      <w:r w:rsidRPr="00C35CB6">
        <w:rPr>
          <w:rFonts w:cs="Arial"/>
          <w:lang w:val="pt-BR"/>
        </w:rPr>
        <w:t xml:space="preserve">/UFSJ, que disciplina os serviços de natureza contínua no âmbito da instituição </w:t>
      </w:r>
      <w:r w:rsidRPr="00700B27">
        <w:rPr>
          <w:rFonts w:cs="Arial"/>
          <w:color w:val="0000FF"/>
          <w:lang w:val="pt-BR"/>
        </w:rPr>
        <w:t>[indicar o inciso correspondente].</w:t>
      </w:r>
    </w:p>
    <w:p w14:paraId="7245AAD7" w14:textId="77777777" w:rsidR="00C35CB6" w:rsidRPr="00C35CB6" w:rsidRDefault="00C35CB6" w:rsidP="00C35CB6">
      <w:pPr>
        <w:pStyle w:val="PargrafodaLista"/>
        <w:spacing w:after="240"/>
        <w:ind w:right="20"/>
        <w:rPr>
          <w:rFonts w:cs="Arial"/>
          <w:szCs w:val="24"/>
          <w:lang w:val="pt-BR"/>
        </w:rPr>
      </w:pPr>
      <w:r w:rsidRPr="00C35CB6">
        <w:rPr>
          <w:rFonts w:cs="Arial"/>
          <w:szCs w:val="24"/>
          <w:lang w:val="pt-BR"/>
        </w:rPr>
        <w:t>O que caracteriza o serviço como contínuo é justamente a imperiosidade de sua execução ininterrupta, por estar intrinsecamente vinculado ao desenvolvimento ordinário das atividades administrativas. Sua interrupção implicaria prejuízos diretos ao interesse público e à consecução das finalidades institucionais da Universidade</w:t>
      </w:r>
      <w:bookmarkEnd w:id="4"/>
      <w:r w:rsidRPr="00C35CB6">
        <w:rPr>
          <w:rFonts w:cs="Arial"/>
          <w:szCs w:val="24"/>
          <w:lang w:val="pt-BR"/>
        </w:rPr>
        <w:t>.</w:t>
      </w:r>
    </w:p>
    <w:p w14:paraId="2BEB59D3" w14:textId="150E0D83" w:rsidR="005E50A3" w:rsidRDefault="00392F10" w:rsidP="00700B27">
      <w:pPr>
        <w:pStyle w:val="PargrafodaLista"/>
        <w:numPr>
          <w:ilvl w:val="0"/>
          <w:numId w:val="1"/>
        </w:numPr>
        <w:spacing w:after="240"/>
        <w:ind w:right="20"/>
        <w:rPr>
          <w:rFonts w:cs="Arial"/>
          <w:szCs w:val="24"/>
        </w:rPr>
      </w:pPr>
      <w:r w:rsidRPr="00392F10">
        <w:rPr>
          <w:rFonts w:cs="Arial"/>
          <w:b/>
          <w:szCs w:val="24"/>
          <w:u w:val="single"/>
        </w:rPr>
        <w:t>Previsão no contrato</w:t>
      </w:r>
      <w:r w:rsidRPr="00392F10">
        <w:rPr>
          <w:rFonts w:cs="Arial"/>
          <w:szCs w:val="24"/>
        </w:rPr>
        <w:t xml:space="preserve"> </w:t>
      </w:r>
      <w:r w:rsidRPr="00053D55">
        <w:rPr>
          <w:rFonts w:cs="Arial"/>
          <w:bCs/>
          <w:szCs w:val="24"/>
        </w:rPr>
        <w:t>(</w:t>
      </w:r>
      <w:r w:rsidR="00DC5F6A">
        <w:rPr>
          <w:rFonts w:cs="Arial"/>
          <w:bCs/>
          <w:szCs w:val="24"/>
        </w:rPr>
        <w:t xml:space="preserve">Lei nº 14.133/2021, art. 107; </w:t>
      </w:r>
      <w:r w:rsidRPr="00053D55">
        <w:rPr>
          <w:rFonts w:cs="Arial"/>
          <w:bCs/>
          <w:szCs w:val="24"/>
          <w:lang w:val="pt-BR"/>
        </w:rPr>
        <w:t>Parecer nº 28/2019/DECOR/CGU/AGU, de 17/04/2019,</w:t>
      </w:r>
      <w:r w:rsidR="00B05DF1" w:rsidRPr="00053D55">
        <w:rPr>
          <w:rFonts w:cs="Arial"/>
          <w:bCs/>
          <w:szCs w:val="24"/>
          <w:lang w:val="pt-BR"/>
        </w:rPr>
        <w:t xml:space="preserve"> </w:t>
      </w:r>
      <w:r w:rsidRPr="00053D55">
        <w:rPr>
          <w:rFonts w:cs="Arial"/>
          <w:bCs/>
          <w:szCs w:val="24"/>
          <w:lang w:val="pt-BR"/>
        </w:rPr>
        <w:t>aprovado pelo Despacho do Advogado-Geral da União nº 292, de 03/06/2019</w:t>
      </w:r>
      <w:r w:rsidRPr="00053D55">
        <w:rPr>
          <w:rFonts w:cs="Arial"/>
          <w:szCs w:val="24"/>
        </w:rPr>
        <w:t xml:space="preserve">). </w:t>
      </w:r>
    </w:p>
    <w:p w14:paraId="0D37CB34" w14:textId="3F0485E1" w:rsidR="0012592A" w:rsidRDefault="0012592A" w:rsidP="005E50A3">
      <w:pPr>
        <w:pStyle w:val="PargrafodaLista"/>
        <w:spacing w:after="240"/>
        <w:ind w:left="0" w:right="20"/>
        <w:rPr>
          <w:rFonts w:cs="Arial"/>
          <w:szCs w:val="24"/>
        </w:rPr>
      </w:pPr>
      <w:bookmarkStart w:id="5" w:name="_Hlk207273543"/>
      <w:r>
        <w:rPr>
          <w:rFonts w:cs="Arial"/>
          <w:szCs w:val="24"/>
        </w:rPr>
        <w:t>A possibilidade de prorrogação deve constar expressamente no edital, conforme art. 107 da Lei nº 14.133/2021. No caso de ausência de previsão, a lei não autorizada a renovação contratual. Em análise da cláusu</w:t>
      </w:r>
      <w:r w:rsidR="00DC5F6A">
        <w:rPr>
          <w:rFonts w:cs="Arial"/>
          <w:szCs w:val="24"/>
        </w:rPr>
        <w:t>la</w:t>
      </w:r>
      <w:r>
        <w:rPr>
          <w:rFonts w:cs="Arial"/>
          <w:szCs w:val="24"/>
        </w:rPr>
        <w:t xml:space="preserve"> </w:t>
      </w:r>
      <w:r w:rsidRPr="0012592A">
        <w:rPr>
          <w:rFonts w:cs="Arial"/>
          <w:color w:val="FF0000"/>
          <w:szCs w:val="24"/>
        </w:rPr>
        <w:t>xx</w:t>
      </w:r>
      <w:r>
        <w:rPr>
          <w:rFonts w:cs="Arial"/>
          <w:szCs w:val="24"/>
        </w:rPr>
        <w:t xml:space="preserve"> do contrato nº </w:t>
      </w:r>
      <w:r w:rsidRPr="0012592A">
        <w:rPr>
          <w:rFonts w:cs="Arial"/>
          <w:color w:val="FF0000"/>
          <w:szCs w:val="24"/>
        </w:rPr>
        <w:t>xx/xxx</w:t>
      </w:r>
      <w:r>
        <w:rPr>
          <w:rFonts w:cs="Arial"/>
          <w:szCs w:val="24"/>
        </w:rPr>
        <w:t>, mostra claramente que tal prolongamento é admitido</w:t>
      </w:r>
      <w:bookmarkEnd w:id="5"/>
      <w:r>
        <w:rPr>
          <w:rFonts w:cs="Arial"/>
          <w:szCs w:val="24"/>
        </w:rPr>
        <w:t>.</w:t>
      </w:r>
    </w:p>
    <w:p w14:paraId="3653466F" w14:textId="77777777" w:rsidR="005E50A3" w:rsidRDefault="00392F10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B831AC">
        <w:rPr>
          <w:rFonts w:cs="Arial"/>
          <w:b/>
          <w:szCs w:val="24"/>
          <w:u w:val="single"/>
        </w:rPr>
        <w:t>Manifestação de interesse da contratada</w:t>
      </w:r>
      <w:r>
        <w:rPr>
          <w:rFonts w:cs="Arial"/>
          <w:szCs w:val="24"/>
        </w:rPr>
        <w:t xml:space="preserve"> </w:t>
      </w:r>
      <w:r w:rsidRPr="00053D55">
        <w:rPr>
          <w:rFonts w:cs="Arial"/>
          <w:bCs/>
          <w:szCs w:val="24"/>
        </w:rPr>
        <w:t>(Item 3, letra “e” anexo IX, IN 05/2017)</w:t>
      </w:r>
      <w:r w:rsidRPr="00C51974">
        <w:rPr>
          <w:rFonts w:cs="Arial"/>
          <w:b/>
          <w:bCs/>
          <w:szCs w:val="24"/>
        </w:rPr>
        <w:t>.</w:t>
      </w:r>
      <w:r>
        <w:rPr>
          <w:rFonts w:cs="Arial"/>
          <w:szCs w:val="24"/>
        </w:rPr>
        <w:t xml:space="preserve"> </w:t>
      </w:r>
    </w:p>
    <w:p w14:paraId="338985DE" w14:textId="7FD3D649" w:rsidR="00392F10" w:rsidRDefault="00392F10" w:rsidP="005E50A3">
      <w:pPr>
        <w:pStyle w:val="PargrafodaLista"/>
        <w:spacing w:after="240"/>
        <w:ind w:left="0" w:right="20"/>
        <w:rPr>
          <w:rFonts w:cs="Arial"/>
          <w:szCs w:val="24"/>
        </w:rPr>
      </w:pPr>
      <w:bookmarkStart w:id="6" w:name="_Hlk207273870"/>
      <w:r>
        <w:rPr>
          <w:rFonts w:cs="Arial"/>
          <w:szCs w:val="24"/>
        </w:rPr>
        <w:t xml:space="preserve">A empresa </w:t>
      </w:r>
      <w:r w:rsidRPr="00FA128D">
        <w:rPr>
          <w:rFonts w:cs="Arial"/>
          <w:color w:val="FF0000"/>
          <w:szCs w:val="24"/>
        </w:rPr>
        <w:t>xxx</w:t>
      </w:r>
      <w:r>
        <w:rPr>
          <w:rFonts w:cs="Arial"/>
          <w:szCs w:val="24"/>
        </w:rPr>
        <w:t xml:space="preserve"> </w:t>
      </w:r>
      <w:r w:rsidR="0012592A">
        <w:rPr>
          <w:rFonts w:cs="Arial"/>
          <w:szCs w:val="24"/>
        </w:rPr>
        <w:t>manifestou, tempestivamente, o</w:t>
      </w:r>
      <w:r>
        <w:rPr>
          <w:rFonts w:cs="Arial"/>
          <w:szCs w:val="24"/>
        </w:rPr>
        <w:t xml:space="preserve"> interesse</w:t>
      </w:r>
      <w:r w:rsidR="0012592A">
        <w:rPr>
          <w:rFonts w:cs="Arial"/>
          <w:szCs w:val="24"/>
        </w:rPr>
        <w:t xml:space="preserve"> em dar continuidade ao contrato de prestação de serviços</w:t>
      </w:r>
      <w:r>
        <w:rPr>
          <w:rFonts w:cs="Arial"/>
          <w:szCs w:val="24"/>
        </w:rPr>
        <w:t xml:space="preserve">, conforme </w:t>
      </w:r>
      <w:r w:rsidR="0012592A">
        <w:rPr>
          <w:rFonts w:cs="Arial"/>
          <w:szCs w:val="24"/>
        </w:rPr>
        <w:t>documento</w:t>
      </w:r>
      <w:r>
        <w:rPr>
          <w:rFonts w:cs="Arial"/>
          <w:szCs w:val="24"/>
        </w:rPr>
        <w:t xml:space="preserve"> anexad</w:t>
      </w:r>
      <w:r w:rsidR="0012592A">
        <w:rPr>
          <w:rFonts w:cs="Arial"/>
          <w:szCs w:val="24"/>
        </w:rPr>
        <w:t>o</w:t>
      </w:r>
      <w:r>
        <w:rPr>
          <w:rFonts w:cs="Arial"/>
          <w:szCs w:val="24"/>
        </w:rPr>
        <w:t xml:space="preserve"> ao processo (seq.</w:t>
      </w:r>
      <w:r w:rsidRPr="00FE1A7D">
        <w:rPr>
          <w:rFonts w:cs="Arial"/>
          <w:color w:val="0000FF"/>
          <w:szCs w:val="24"/>
        </w:rPr>
        <w:t xml:space="preserve"> </w:t>
      </w:r>
      <w:r w:rsidRPr="00FA128D">
        <w:rPr>
          <w:rFonts w:cs="Arial"/>
          <w:color w:val="FF0000"/>
          <w:szCs w:val="24"/>
        </w:rPr>
        <w:t>xx</w:t>
      </w:r>
      <w:r>
        <w:rPr>
          <w:rFonts w:cs="Arial"/>
          <w:szCs w:val="24"/>
        </w:rPr>
        <w:t>)</w:t>
      </w:r>
      <w:r w:rsidR="0012592A">
        <w:rPr>
          <w:rFonts w:cs="Arial"/>
          <w:szCs w:val="24"/>
        </w:rPr>
        <w:t xml:space="preserve">. No ensejo, </w:t>
      </w:r>
      <w:r w:rsidR="0012592A" w:rsidRPr="0012592A">
        <w:rPr>
          <w:rFonts w:cs="Arial"/>
          <w:color w:val="0000FF"/>
          <w:szCs w:val="24"/>
        </w:rPr>
        <w:t xml:space="preserve">(não) </w:t>
      </w:r>
      <w:r w:rsidR="0012592A">
        <w:rPr>
          <w:rFonts w:cs="Arial"/>
          <w:szCs w:val="24"/>
        </w:rPr>
        <w:t>mencionou eventual necessidade de reajuste ou repactuação contratual.</w:t>
      </w:r>
      <w:r w:rsidR="00DE4663" w:rsidRPr="00DE4663">
        <w:rPr>
          <w:rFonts w:cs="Arial"/>
          <w:color w:val="FF0000"/>
          <w:szCs w:val="24"/>
        </w:rPr>
        <w:t xml:space="preserve"> Desta forma, deve constar cláusula no termo aditivo ressalvando futura repactução</w:t>
      </w:r>
      <w:r w:rsidR="00DE4663" w:rsidRPr="00DE4663">
        <w:rPr>
          <w:rFonts w:cs="Arial"/>
          <w:szCs w:val="24"/>
        </w:rPr>
        <w:t>.</w:t>
      </w:r>
      <w:r w:rsidR="00D36A07" w:rsidRPr="00D36A07">
        <w:rPr>
          <w:rFonts w:cs="Arial"/>
          <w:color w:val="0000FF"/>
          <w:szCs w:val="24"/>
        </w:rPr>
        <w:t xml:space="preserve"> [a ressalva da repactuação somente pode ser incluída no termo aditivo se houver expresso pedido da contratada, que deve fazê-lo sob pena de preclusão lógica do direito de repactuar, conforme disposto no art. 57 da IN 05/2017]</w:t>
      </w:r>
    </w:p>
    <w:bookmarkEnd w:id="6"/>
    <w:p w14:paraId="2DD18681" w14:textId="77777777" w:rsidR="005E50A3" w:rsidRDefault="00EB6CEF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392F10">
        <w:rPr>
          <w:rFonts w:cs="Arial"/>
          <w:b/>
          <w:szCs w:val="24"/>
          <w:u w:val="single"/>
        </w:rPr>
        <w:t>Relatório</w:t>
      </w:r>
      <w:r w:rsidR="00392F10">
        <w:rPr>
          <w:rFonts w:cs="Arial"/>
          <w:b/>
          <w:szCs w:val="24"/>
          <w:u w:val="single"/>
        </w:rPr>
        <w:t xml:space="preserve"> </w:t>
      </w:r>
      <w:r w:rsidR="004127AC">
        <w:rPr>
          <w:rFonts w:cs="Arial"/>
          <w:b/>
          <w:szCs w:val="24"/>
          <w:u w:val="single"/>
        </w:rPr>
        <w:t>sobre a regularidade da execução contratual</w:t>
      </w:r>
      <w:r w:rsidRPr="00392F10">
        <w:rPr>
          <w:rFonts w:cs="Arial"/>
          <w:szCs w:val="24"/>
          <w:u w:val="single"/>
        </w:rPr>
        <w:t xml:space="preserve"> </w:t>
      </w:r>
      <w:r w:rsidRPr="00053D55">
        <w:rPr>
          <w:rFonts w:cs="Arial"/>
          <w:bCs/>
          <w:szCs w:val="24"/>
        </w:rPr>
        <w:t>(Item 3, letra “b” anexo IX, IN 05/2017).</w:t>
      </w:r>
      <w:r w:rsidRPr="00392F10">
        <w:rPr>
          <w:rFonts w:cs="Arial"/>
          <w:szCs w:val="24"/>
        </w:rPr>
        <w:t xml:space="preserve"> </w:t>
      </w:r>
      <w:bookmarkStart w:id="7" w:name="_Hlk166247046"/>
    </w:p>
    <w:p w14:paraId="4A5C2BAD" w14:textId="33C1D33C" w:rsidR="00EB6CEF" w:rsidRPr="00392F10" w:rsidRDefault="00EB6CEF" w:rsidP="005E50A3">
      <w:pPr>
        <w:pStyle w:val="PargrafodaLista"/>
        <w:spacing w:after="240"/>
        <w:ind w:left="0" w:right="20"/>
        <w:rPr>
          <w:rFonts w:cs="Arial"/>
          <w:szCs w:val="24"/>
        </w:rPr>
      </w:pPr>
      <w:r w:rsidRPr="00392F10">
        <w:rPr>
          <w:rFonts w:cs="Arial"/>
          <w:szCs w:val="24"/>
        </w:rPr>
        <w:lastRenderedPageBreak/>
        <w:t>Os serviços estão sendo prestados regularmente e com a qualidade prevista no instrumento convocatório, no que tange os critérios técnicos de recebimento, assim como os critérios administrativos em relação ao cumprimento com as obrigações traba</w:t>
      </w:r>
      <w:r w:rsidR="00225249" w:rsidRPr="00392F10">
        <w:rPr>
          <w:rFonts w:cs="Arial"/>
          <w:szCs w:val="24"/>
        </w:rPr>
        <w:t>l</w:t>
      </w:r>
      <w:r w:rsidRPr="00392F10">
        <w:rPr>
          <w:rFonts w:cs="Arial"/>
          <w:szCs w:val="24"/>
        </w:rPr>
        <w:t xml:space="preserve">histas, previdenciárias e de recolhimento do FGTS, conforme Relatório de Execução do Contrato, emitido pela fiscalização técnica e administrativa (seq. </w:t>
      </w:r>
      <w:r w:rsidRPr="002A24A2">
        <w:rPr>
          <w:rFonts w:cs="Arial"/>
          <w:color w:val="FF0000"/>
          <w:szCs w:val="24"/>
        </w:rPr>
        <w:t>xx</w:t>
      </w:r>
      <w:r w:rsidRPr="00392F10">
        <w:rPr>
          <w:rFonts w:cs="Arial"/>
          <w:color w:val="0000FF"/>
          <w:szCs w:val="24"/>
        </w:rPr>
        <w:t xml:space="preserve"> </w:t>
      </w:r>
      <w:r w:rsidRPr="002A24A2">
        <w:rPr>
          <w:rFonts w:cs="Arial"/>
          <w:szCs w:val="24"/>
        </w:rPr>
        <w:t>e</w:t>
      </w:r>
      <w:r w:rsidRPr="00392F10">
        <w:rPr>
          <w:rFonts w:cs="Arial"/>
          <w:color w:val="0000FF"/>
          <w:szCs w:val="24"/>
        </w:rPr>
        <w:t xml:space="preserve"> </w:t>
      </w:r>
      <w:r w:rsidRPr="002A24A2">
        <w:rPr>
          <w:rFonts w:cs="Arial"/>
          <w:color w:val="FF0000"/>
          <w:szCs w:val="24"/>
        </w:rPr>
        <w:t>xx</w:t>
      </w:r>
      <w:r w:rsidRPr="00392F10">
        <w:rPr>
          <w:rFonts w:cs="Arial"/>
          <w:szCs w:val="24"/>
        </w:rPr>
        <w:t>)</w:t>
      </w:r>
      <w:bookmarkEnd w:id="7"/>
    </w:p>
    <w:p w14:paraId="15B14BE4" w14:textId="0BAD7FB4" w:rsidR="004127AC" w:rsidRDefault="00EB6CEF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F1621E">
        <w:rPr>
          <w:rFonts w:cs="Arial"/>
          <w:b/>
          <w:szCs w:val="24"/>
          <w:u w:val="single"/>
        </w:rPr>
        <w:t xml:space="preserve">Vantajosidade </w:t>
      </w:r>
      <w:r w:rsidR="00EC7AB8">
        <w:rPr>
          <w:rFonts w:cs="Arial"/>
          <w:b/>
          <w:szCs w:val="24"/>
          <w:u w:val="single"/>
        </w:rPr>
        <w:t>da contratação</w:t>
      </w:r>
      <w:r w:rsidRPr="00F1621E">
        <w:rPr>
          <w:rFonts w:cs="Arial"/>
          <w:szCs w:val="24"/>
          <w:u w:val="single"/>
        </w:rPr>
        <w:t xml:space="preserve"> </w:t>
      </w:r>
      <w:r w:rsidR="00053D55">
        <w:rPr>
          <w:rFonts w:cs="Arial"/>
          <w:szCs w:val="24"/>
          <w:u w:val="single"/>
        </w:rPr>
        <w:t xml:space="preserve"> </w:t>
      </w:r>
      <w:r w:rsidRPr="00053D55">
        <w:rPr>
          <w:rFonts w:cs="Arial"/>
          <w:bCs/>
          <w:szCs w:val="24"/>
        </w:rPr>
        <w:t>(Item 3, letra “d” anexo IX, IN 05/2017)</w:t>
      </w:r>
      <w:r w:rsidRPr="00F1621E">
        <w:rPr>
          <w:rFonts w:cs="Arial"/>
          <w:szCs w:val="24"/>
        </w:rPr>
        <w:t xml:space="preserve"> </w:t>
      </w:r>
    </w:p>
    <w:p w14:paraId="1A34F04A" w14:textId="2048F427" w:rsidR="00671621" w:rsidRPr="008B21C2" w:rsidRDefault="003A2402" w:rsidP="008B21C2">
      <w:pPr>
        <w:pStyle w:val="western"/>
        <w:spacing w:line="360" w:lineRule="auto"/>
        <w:jc w:val="both"/>
        <w:rPr>
          <w:rFonts w:ascii="Arial" w:hAnsi="Arial" w:cs="Arial"/>
          <w:iCs/>
          <w:lang w:val="pt-PT"/>
        </w:rPr>
      </w:pPr>
      <w:bookmarkStart w:id="8" w:name="_Hlk207278225"/>
      <w:r w:rsidRPr="008B21C2">
        <w:rPr>
          <w:rFonts w:ascii="Arial" w:hAnsi="Arial" w:cs="Arial"/>
          <w:iCs/>
          <w:lang w:val="pt-PT"/>
        </w:rPr>
        <w:t>Nos termos da IN 05/2017, Anexo IX, itens 3 e 4, os contratos de prestação de serviços continuados podem ser prorrogados, a cada 12 meses, desde que comprovado que o valor do contrato permanece economicamente vantajoso para a Administração. Tal comprovação, deve ser precedida de análise entre os preços contratados e aqueles praticados no mercado de modo a concluir que a continuidade da contratação é mais vantajosa que a realização de uma nova licitação, sem prejuízo de eventual negociação com a contratada para adequação dos valores àqueles encontrados na pesquisa de mercado.</w:t>
      </w:r>
      <w:r w:rsidR="008B21C2" w:rsidRPr="008B21C2">
        <w:rPr>
          <w:rFonts w:ascii="Arial" w:hAnsi="Arial" w:cs="Arial"/>
          <w:iCs/>
          <w:lang w:val="pt-PT"/>
        </w:rPr>
        <w:t xml:space="preserve"> Com relação à pesquisa de preços, a egrégia corte do Tribunal de Contas da União, por meio do Acórdão nº 1214/2013 – Plenário, concluiu que “r</w:t>
      </w:r>
      <w:r w:rsidR="00671621" w:rsidRPr="008B21C2">
        <w:rPr>
          <w:rFonts w:ascii="Arial" w:hAnsi="Arial" w:cs="Arial"/>
          <w:iCs/>
          <w:lang w:val="pt-PT"/>
        </w:rPr>
        <w:t>ealizadas essas considerações, conclui-se que, em se tratando de prorrogação contratual para serviços de natureza continuada, a realização de pesquisa junto ao mercado e outros órgãos/entidades da Administração Pública, além de fictícia, já que não retrata verdadeiramente o mercado, é onerosa e burocrática, portanto absolutamente desnecessária. [...]</w:t>
      </w:r>
    </w:p>
    <w:p w14:paraId="1DF3FF95" w14:textId="77777777" w:rsidR="00FA128D" w:rsidRDefault="00392F10" w:rsidP="004127AC">
      <w:pPr>
        <w:pStyle w:val="PargrafodaLista"/>
        <w:spacing w:after="240"/>
        <w:ind w:left="0" w:right="20"/>
        <w:rPr>
          <w:rFonts w:cs="Arial"/>
          <w:i/>
          <w:iCs/>
          <w:szCs w:val="24"/>
        </w:rPr>
      </w:pPr>
      <w:r w:rsidRPr="00392F10">
        <w:rPr>
          <w:rFonts w:cs="Arial"/>
          <w:szCs w:val="24"/>
        </w:rPr>
        <w:t xml:space="preserve">De acordo como o item 7, letra “a”, anexo IX da IN nº 05/2017, “a </w:t>
      </w:r>
      <w:r w:rsidRPr="00392F10">
        <w:rPr>
          <w:rFonts w:cs="Arial"/>
          <w:i/>
          <w:iCs/>
          <w:szCs w:val="24"/>
        </w:rPr>
        <w:t>vantajosidade econômica para prorrogação dos contratos com mão de obra exclusiva estará assegurada, sendo dispensada a realização de pesquisa de mercado, nas seguintes hipóteses:</w:t>
      </w:r>
    </w:p>
    <w:p w14:paraId="2209F470" w14:textId="34A0B386" w:rsidR="00392F10" w:rsidRPr="00392F10" w:rsidRDefault="00392F10" w:rsidP="004127AC">
      <w:pPr>
        <w:pStyle w:val="PargrafodaLista"/>
        <w:spacing w:after="240"/>
        <w:ind w:left="0" w:right="20"/>
        <w:rPr>
          <w:rFonts w:cs="Arial"/>
          <w:szCs w:val="24"/>
        </w:rPr>
      </w:pPr>
      <w:r w:rsidRPr="00392F10">
        <w:rPr>
          <w:rFonts w:cs="Arial"/>
          <w:i/>
          <w:iCs/>
          <w:szCs w:val="24"/>
        </w:rPr>
        <w:t>a) quando o contrato contiver previsões de que os reajustes dos itens envolvendo a folha de salários serão efetuados com base em Acordo, Convenção, Dissídio Coletivo de Trabalho ou em decorrência de lei.”</w:t>
      </w:r>
    </w:p>
    <w:p w14:paraId="72F34194" w14:textId="77777777" w:rsidR="00392F10" w:rsidRPr="00392F10" w:rsidRDefault="00392F10" w:rsidP="00392F10">
      <w:pPr>
        <w:pStyle w:val="PargrafodaLista"/>
        <w:ind w:left="0"/>
        <w:rPr>
          <w:rFonts w:cs="Arial"/>
          <w:i/>
          <w:iCs/>
          <w:szCs w:val="24"/>
          <w:lang w:val="pt-BR"/>
        </w:rPr>
      </w:pPr>
      <w:r w:rsidRPr="00392F10">
        <w:rPr>
          <w:rFonts w:cs="Arial"/>
          <w:i/>
          <w:iCs/>
          <w:szCs w:val="24"/>
          <w:lang w:val="pt-BR"/>
        </w:rPr>
        <w:t>b) quando o contrato contiver previs</w:t>
      </w:r>
      <w:r w:rsidRPr="00392F10">
        <w:rPr>
          <w:rFonts w:cs="Arial" w:hint="eastAsia"/>
          <w:i/>
          <w:iCs/>
          <w:szCs w:val="24"/>
          <w:lang w:val="pt-BR"/>
        </w:rPr>
        <w:t>õ</w:t>
      </w:r>
      <w:r w:rsidRPr="00392F10">
        <w:rPr>
          <w:rFonts w:cs="Arial"/>
          <w:i/>
          <w:iCs/>
          <w:szCs w:val="24"/>
          <w:lang w:val="pt-BR"/>
        </w:rPr>
        <w:t>es de que os reajustes dos itens envolvendo insumos (exceto quanto a obriga</w:t>
      </w:r>
      <w:r w:rsidRPr="00392F10">
        <w:rPr>
          <w:rFonts w:cs="Arial" w:hint="eastAsia"/>
          <w:i/>
          <w:iCs/>
          <w:szCs w:val="24"/>
          <w:lang w:val="pt-BR"/>
        </w:rPr>
        <w:t>çõ</w:t>
      </w:r>
      <w:r w:rsidRPr="00392F10">
        <w:rPr>
          <w:rFonts w:cs="Arial"/>
          <w:i/>
          <w:iCs/>
          <w:szCs w:val="24"/>
          <w:lang w:val="pt-BR"/>
        </w:rPr>
        <w:t>es decorrentes de Acordo, Conven</w:t>
      </w:r>
      <w:r w:rsidRPr="00392F10">
        <w:rPr>
          <w:rFonts w:cs="Arial" w:hint="eastAsia"/>
          <w:i/>
          <w:iCs/>
          <w:szCs w:val="24"/>
          <w:lang w:val="pt-BR"/>
        </w:rPr>
        <w:t>çã</w:t>
      </w:r>
      <w:r w:rsidRPr="00392F10">
        <w:rPr>
          <w:rFonts w:cs="Arial"/>
          <w:i/>
          <w:iCs/>
          <w:szCs w:val="24"/>
          <w:lang w:val="pt-BR"/>
        </w:rPr>
        <w:t>o, Diss</w:t>
      </w:r>
      <w:r w:rsidRPr="00392F10">
        <w:rPr>
          <w:rFonts w:cs="Arial" w:hint="eastAsia"/>
          <w:i/>
          <w:iCs/>
          <w:szCs w:val="24"/>
          <w:lang w:val="pt-BR"/>
        </w:rPr>
        <w:t>í</w:t>
      </w:r>
      <w:r w:rsidRPr="00392F10">
        <w:rPr>
          <w:rFonts w:cs="Arial"/>
          <w:i/>
          <w:iCs/>
          <w:szCs w:val="24"/>
          <w:lang w:val="pt-BR"/>
        </w:rPr>
        <w:t>dio Coletivo de Trabalho e de lei) e materiais ser</w:t>
      </w:r>
      <w:r w:rsidRPr="00392F10">
        <w:rPr>
          <w:rFonts w:cs="Arial" w:hint="eastAsia"/>
          <w:i/>
          <w:iCs/>
          <w:szCs w:val="24"/>
          <w:lang w:val="pt-BR"/>
        </w:rPr>
        <w:t>ã</w:t>
      </w:r>
      <w:r w:rsidRPr="00392F10">
        <w:rPr>
          <w:rFonts w:cs="Arial"/>
          <w:i/>
          <w:iCs/>
          <w:szCs w:val="24"/>
          <w:lang w:val="pt-BR"/>
        </w:rPr>
        <w:t xml:space="preserve">o efetuados com base em </w:t>
      </w:r>
      <w:r w:rsidRPr="00392F10">
        <w:rPr>
          <w:rFonts w:cs="Arial" w:hint="eastAsia"/>
          <w:i/>
          <w:iCs/>
          <w:szCs w:val="24"/>
          <w:lang w:val="pt-BR"/>
        </w:rPr>
        <w:t>í</w:t>
      </w:r>
      <w:r w:rsidRPr="00392F10">
        <w:rPr>
          <w:rFonts w:cs="Arial"/>
          <w:i/>
          <w:iCs/>
          <w:szCs w:val="24"/>
          <w:lang w:val="pt-BR"/>
        </w:rPr>
        <w:t xml:space="preserve">ndices </w:t>
      </w:r>
      <w:r w:rsidRPr="00392F10">
        <w:rPr>
          <w:rFonts w:cs="Arial"/>
          <w:i/>
          <w:iCs/>
          <w:szCs w:val="24"/>
          <w:lang w:val="pt-BR"/>
        </w:rPr>
        <w:lastRenderedPageBreak/>
        <w:t>oficiais, previamente definidos no contrato, que guardem a maior correla</w:t>
      </w:r>
      <w:r w:rsidRPr="00392F10">
        <w:rPr>
          <w:rFonts w:cs="Arial" w:hint="eastAsia"/>
          <w:i/>
          <w:iCs/>
          <w:szCs w:val="24"/>
          <w:lang w:val="pt-BR"/>
        </w:rPr>
        <w:t>çã</w:t>
      </w:r>
      <w:r w:rsidRPr="00392F10">
        <w:rPr>
          <w:rFonts w:cs="Arial"/>
          <w:i/>
          <w:iCs/>
          <w:szCs w:val="24"/>
          <w:lang w:val="pt-BR"/>
        </w:rPr>
        <w:t>o poss</w:t>
      </w:r>
      <w:r w:rsidRPr="00392F10">
        <w:rPr>
          <w:rFonts w:cs="Arial" w:hint="eastAsia"/>
          <w:i/>
          <w:iCs/>
          <w:szCs w:val="24"/>
          <w:lang w:val="pt-BR"/>
        </w:rPr>
        <w:t>í</w:t>
      </w:r>
      <w:r w:rsidRPr="00392F10">
        <w:rPr>
          <w:rFonts w:cs="Arial"/>
          <w:i/>
          <w:iCs/>
          <w:szCs w:val="24"/>
          <w:lang w:val="pt-BR"/>
        </w:rPr>
        <w:t>vel com o segmento econ</w:t>
      </w:r>
      <w:r w:rsidRPr="00392F10">
        <w:rPr>
          <w:rFonts w:cs="Arial" w:hint="eastAsia"/>
          <w:i/>
          <w:iCs/>
          <w:szCs w:val="24"/>
          <w:lang w:val="pt-BR"/>
        </w:rPr>
        <w:t>ô</w:t>
      </w:r>
      <w:r w:rsidRPr="00392F10">
        <w:rPr>
          <w:rFonts w:cs="Arial"/>
          <w:i/>
          <w:iCs/>
          <w:szCs w:val="24"/>
          <w:lang w:val="pt-BR"/>
        </w:rPr>
        <w:t xml:space="preserve">mico em que estejam inseridos tais insumos ou materiais ou, na falta de qualquer </w:t>
      </w:r>
      <w:r w:rsidRPr="00392F10">
        <w:rPr>
          <w:rFonts w:cs="Arial" w:hint="eastAsia"/>
          <w:i/>
          <w:iCs/>
          <w:szCs w:val="24"/>
          <w:lang w:val="pt-BR"/>
        </w:rPr>
        <w:t>í</w:t>
      </w:r>
      <w:r w:rsidRPr="00392F10">
        <w:rPr>
          <w:rFonts w:cs="Arial"/>
          <w:i/>
          <w:iCs/>
          <w:szCs w:val="24"/>
          <w:lang w:val="pt-BR"/>
        </w:rPr>
        <w:t xml:space="preserve">ndice setorial, o </w:t>
      </w:r>
      <w:r w:rsidRPr="00392F10">
        <w:rPr>
          <w:rFonts w:cs="Arial" w:hint="eastAsia"/>
          <w:i/>
          <w:iCs/>
          <w:szCs w:val="24"/>
          <w:lang w:val="pt-BR"/>
        </w:rPr>
        <w:t>Í</w:t>
      </w:r>
      <w:r w:rsidRPr="00392F10">
        <w:rPr>
          <w:rFonts w:cs="Arial"/>
          <w:i/>
          <w:iCs/>
          <w:szCs w:val="24"/>
          <w:lang w:val="pt-BR"/>
        </w:rPr>
        <w:t>ndice Nacional de Pre</w:t>
      </w:r>
      <w:r w:rsidRPr="00392F10">
        <w:rPr>
          <w:rFonts w:cs="Arial" w:hint="eastAsia"/>
          <w:i/>
          <w:iCs/>
          <w:szCs w:val="24"/>
          <w:lang w:val="pt-BR"/>
        </w:rPr>
        <w:t>ç</w:t>
      </w:r>
      <w:r w:rsidRPr="00392F10">
        <w:rPr>
          <w:rFonts w:cs="Arial"/>
          <w:i/>
          <w:iCs/>
          <w:szCs w:val="24"/>
          <w:lang w:val="pt-BR"/>
        </w:rPr>
        <w:t>os ao Consumidor Amplo (IPCA/IBGE);</w:t>
      </w:r>
    </w:p>
    <w:p w14:paraId="426A16FE" w14:textId="77777777" w:rsidR="007236D4" w:rsidRDefault="00392F10" w:rsidP="00392F10">
      <w:pPr>
        <w:pStyle w:val="PargrafodaLista"/>
        <w:ind w:left="0"/>
        <w:rPr>
          <w:rFonts w:cs="Arial"/>
          <w:iCs/>
          <w:szCs w:val="24"/>
        </w:rPr>
      </w:pPr>
      <w:r w:rsidRPr="00392F10">
        <w:rPr>
          <w:rFonts w:cs="Arial"/>
          <w:iCs/>
          <w:szCs w:val="24"/>
        </w:rPr>
        <w:t>Isto posto, as previsões de reajuste previstas na alínea “a” acima consta</w:t>
      </w:r>
      <w:r w:rsidR="00C06B2F">
        <w:rPr>
          <w:rFonts w:cs="Arial"/>
          <w:iCs/>
          <w:szCs w:val="24"/>
        </w:rPr>
        <w:t>m</w:t>
      </w:r>
      <w:r w:rsidRPr="00392F10">
        <w:rPr>
          <w:rFonts w:cs="Arial"/>
          <w:iCs/>
          <w:szCs w:val="24"/>
        </w:rPr>
        <w:t xml:space="preserve"> na cláusula </w:t>
      </w:r>
      <w:r w:rsidRPr="00FA128D">
        <w:rPr>
          <w:rFonts w:cs="Arial"/>
          <w:iCs/>
          <w:color w:val="FF0000"/>
          <w:szCs w:val="24"/>
        </w:rPr>
        <w:t>xx</w:t>
      </w:r>
      <w:r w:rsidRPr="00392F10">
        <w:rPr>
          <w:rFonts w:cs="Arial"/>
          <w:iCs/>
          <w:szCs w:val="24"/>
        </w:rPr>
        <w:t xml:space="preserve"> do contrato. </w:t>
      </w:r>
      <w:r w:rsidR="00C06B2F">
        <w:rPr>
          <w:rFonts w:cs="Arial"/>
          <w:iCs/>
          <w:szCs w:val="24"/>
        </w:rPr>
        <w:t>Em relação aos custos decorrentes do mercado, n</w:t>
      </w:r>
      <w:r w:rsidR="00F306B6">
        <w:rPr>
          <w:rFonts w:cs="Arial"/>
          <w:iCs/>
          <w:szCs w:val="24"/>
        </w:rPr>
        <w:t xml:space="preserve">a forma da cláusula </w:t>
      </w:r>
      <w:r w:rsidR="00F306B6" w:rsidRPr="00FA128D">
        <w:rPr>
          <w:rFonts w:cs="Arial"/>
          <w:iCs/>
          <w:color w:val="FF0000"/>
          <w:szCs w:val="24"/>
        </w:rPr>
        <w:t>xx</w:t>
      </w:r>
      <w:r w:rsidR="00F306B6">
        <w:rPr>
          <w:rFonts w:cs="Arial"/>
          <w:iCs/>
          <w:szCs w:val="24"/>
        </w:rPr>
        <w:t xml:space="preserve"> do contrato,  o reajustamento será apurado mediante a aplicação do Índice Naconal de Preços ao consumidor IPCA tendo em vista a ausência de índice setorial ou específico. </w:t>
      </w:r>
      <w:r w:rsidR="00F306B6" w:rsidRPr="00F306B6">
        <w:rPr>
          <w:rFonts w:cs="Arial"/>
          <w:iCs/>
          <w:szCs w:val="24"/>
          <w:lang w:val="pt-BR"/>
        </w:rPr>
        <w:t>Nos termos do Decreto nº 12.079, de 26 de junho de 2024, o Conselho Monetário Nacional, por meio da Resolução CMN nº 5.141, de 26 de junho de 2024,  definiu o Índice Nacional de Preços ao Consumidor Amplo (IPCA) como índice oficial para monitoramento da inflação</w:t>
      </w:r>
      <w:r w:rsidR="00F306B6">
        <w:rPr>
          <w:rFonts w:cs="Arial"/>
          <w:iCs/>
          <w:szCs w:val="24"/>
          <w:lang w:val="pt-BR"/>
        </w:rPr>
        <w:t xml:space="preserve">, sendo a solução mais adequada para aferição da variação de preços no mercado varejista, </w:t>
      </w:r>
      <w:r w:rsidR="00F306B6" w:rsidRPr="00F306B6">
        <w:rPr>
          <w:rFonts w:cs="Arial"/>
          <w:iCs/>
          <w:szCs w:val="24"/>
          <w:lang w:val="pt-BR"/>
        </w:rPr>
        <w:t>em consonância com o entendimento consolidado no Parecer nº 04/2013/CPLC/DEPCONSU/PGF/AGU</w:t>
      </w:r>
      <w:r w:rsidR="00F306B6">
        <w:rPr>
          <w:rFonts w:cs="Arial"/>
          <w:iCs/>
          <w:szCs w:val="24"/>
          <w:lang w:val="pt-BR"/>
        </w:rPr>
        <w:t>.</w:t>
      </w:r>
      <w:r w:rsidR="009C1802" w:rsidRPr="009C1802">
        <w:rPr>
          <w:rFonts w:cs="Arial"/>
          <w:iCs/>
          <w:szCs w:val="24"/>
        </w:rPr>
        <w:t xml:space="preserve"> </w:t>
      </w:r>
    </w:p>
    <w:p w14:paraId="58FAFCF9" w14:textId="75E29421" w:rsidR="001A28AD" w:rsidRDefault="001A28AD" w:rsidP="00392F10">
      <w:pPr>
        <w:pStyle w:val="PargrafodaLista"/>
        <w:ind w:left="0"/>
        <w:rPr>
          <w:rFonts w:cs="Arial"/>
          <w:iCs/>
          <w:color w:val="0000FF"/>
          <w:szCs w:val="24"/>
        </w:rPr>
      </w:pPr>
      <w:r w:rsidRPr="002A24A2">
        <w:rPr>
          <w:rFonts w:cs="Arial"/>
          <w:iCs/>
          <w:color w:val="0000FF"/>
          <w:szCs w:val="24"/>
        </w:rPr>
        <w:t>[adequar o texto acima caso haja previsão de outro índice no contrato]</w:t>
      </w:r>
    </w:p>
    <w:p w14:paraId="068479DF" w14:textId="77777777" w:rsidR="000A3A4D" w:rsidRPr="000A3A4D" w:rsidRDefault="000A3A4D" w:rsidP="000A3A4D">
      <w:pPr>
        <w:pStyle w:val="PargrafodaLista"/>
        <w:ind w:left="0"/>
        <w:rPr>
          <w:rFonts w:cs="Arial"/>
          <w:iCs/>
          <w:color w:val="0000FF"/>
          <w:szCs w:val="24"/>
        </w:rPr>
      </w:pPr>
      <w:r w:rsidRPr="000A3A4D">
        <w:rPr>
          <w:rFonts w:cs="Arial"/>
          <w:iCs/>
          <w:color w:val="0000FF"/>
          <w:szCs w:val="24"/>
        </w:rPr>
        <w:t>[Independentemente da realização ou não de pesquisa de preço, deve haver manifestação conclusiva sobre a permanência das condições favoráveis ajustadas pela Administração, como condição para o prosseguimento da prorrogação. Nesse sentido, o texto abaixo é sugestivo e deve ser avaliado naquilo que se enquadra no contrato que será renovado]</w:t>
      </w:r>
    </w:p>
    <w:p w14:paraId="202A57D7" w14:textId="20DCDC17" w:rsidR="00787889" w:rsidRDefault="00172BE8" w:rsidP="001A28AD">
      <w:pPr>
        <w:pStyle w:val="PargrafodaLista"/>
        <w:ind w:left="0"/>
        <w:rPr>
          <w:rFonts w:cs="Arial"/>
          <w:iCs/>
          <w:szCs w:val="24"/>
          <w:lang w:val="pt-BR"/>
        </w:rPr>
      </w:pPr>
      <w:r w:rsidRPr="00172BE8">
        <w:rPr>
          <w:rFonts w:cs="Arial"/>
          <w:iCs/>
          <w:szCs w:val="24"/>
        </w:rPr>
        <w:t xml:space="preserve">No entanto, a vantajosidade que justifica a prorrogação contratual não se restringe ao aspecto econômico, devendo ser analisada sob uma perspectiva mais ampla. Nesse sentido, destacam-se os seguintes </w:t>
      </w:r>
      <w:r w:rsidRPr="000A3A4D">
        <w:rPr>
          <w:rFonts w:cs="Arial"/>
          <w:bCs/>
          <w:iCs/>
          <w:szCs w:val="24"/>
        </w:rPr>
        <w:t>aspectos</w:t>
      </w:r>
      <w:r w:rsidRPr="00172BE8">
        <w:rPr>
          <w:rFonts w:cs="Arial"/>
          <w:iCs/>
          <w:szCs w:val="24"/>
        </w:rPr>
        <w:t xml:space="preserve"> que evidenciam que a prorrogação em questão mostra-se conveniente e oportuna para a Administração</w:t>
      </w:r>
      <w:r w:rsidR="00DC5F6A">
        <w:rPr>
          <w:rFonts w:cs="Arial"/>
          <w:iCs/>
          <w:szCs w:val="24"/>
          <w:lang w:val="pt-BR"/>
        </w:rPr>
        <w:t>:</w:t>
      </w:r>
    </w:p>
    <w:p w14:paraId="7C1ACDCC" w14:textId="6416D7D7" w:rsidR="000F136B" w:rsidRDefault="000F136B" w:rsidP="000F136B">
      <w:pPr>
        <w:pStyle w:val="PargrafodaLista"/>
        <w:ind w:left="0"/>
        <w:rPr>
          <w:rFonts w:cs="Arial"/>
          <w:iCs/>
          <w:szCs w:val="24"/>
        </w:rPr>
      </w:pPr>
      <w:r w:rsidRPr="002A24A2">
        <w:rPr>
          <w:rFonts w:cs="Arial"/>
          <w:iCs/>
          <w:color w:val="0000FF"/>
          <w:szCs w:val="24"/>
        </w:rPr>
        <w:t>[</w:t>
      </w:r>
      <w:r>
        <w:rPr>
          <w:rFonts w:cs="Arial"/>
          <w:iCs/>
          <w:color w:val="0000FF"/>
          <w:szCs w:val="24"/>
        </w:rPr>
        <w:t>o texto abaixo é sugestivo. Deve-se avaliar</w:t>
      </w:r>
      <w:r w:rsidR="00DC5F6A">
        <w:rPr>
          <w:rFonts w:cs="Arial"/>
          <w:iCs/>
          <w:color w:val="0000FF"/>
          <w:szCs w:val="24"/>
        </w:rPr>
        <w:t xml:space="preserve"> as hipóteses que se encaixam no contrato que será renovado</w:t>
      </w:r>
      <w:r w:rsidRPr="002A24A2">
        <w:rPr>
          <w:rFonts w:cs="Arial"/>
          <w:iCs/>
          <w:color w:val="0000FF"/>
          <w:szCs w:val="24"/>
        </w:rPr>
        <w:t>]</w:t>
      </w:r>
    </w:p>
    <w:p w14:paraId="1378A7ED" w14:textId="574242EA" w:rsidR="00787889" w:rsidRPr="00787889" w:rsidRDefault="00787889" w:rsidP="00787889">
      <w:pPr>
        <w:pStyle w:val="PargrafodaLista"/>
        <w:numPr>
          <w:ilvl w:val="0"/>
          <w:numId w:val="9"/>
        </w:numPr>
        <w:rPr>
          <w:rFonts w:cs="Arial"/>
          <w:iCs/>
          <w:szCs w:val="24"/>
          <w:lang w:val="pt-BR"/>
        </w:rPr>
      </w:pPr>
      <w:r w:rsidRPr="00787889">
        <w:rPr>
          <w:rFonts w:cs="Arial"/>
          <w:b/>
          <w:bCs/>
          <w:iCs/>
          <w:szCs w:val="24"/>
          <w:lang w:val="pt-BR"/>
        </w:rPr>
        <w:t>Regularidade da execução contratual:</w:t>
      </w:r>
      <w:r w:rsidRPr="00787889">
        <w:rPr>
          <w:rFonts w:cs="Arial"/>
          <w:iCs/>
          <w:szCs w:val="24"/>
          <w:lang w:val="pt-BR"/>
        </w:rPr>
        <w:t xml:space="preserve"> a empresa vem cumprindo de forma satisfatória as obrigações assumidas, atendendo adequadamente às demandas da Administração, sem registros de falhas relevantes</w:t>
      </w:r>
      <w:r w:rsidR="00F02416">
        <w:rPr>
          <w:rFonts w:cs="Arial"/>
          <w:iCs/>
          <w:szCs w:val="24"/>
          <w:lang w:val="pt-BR"/>
        </w:rPr>
        <w:t xml:space="preserve"> que desaconselham sua continuidade</w:t>
      </w:r>
      <w:r w:rsidRPr="00787889">
        <w:rPr>
          <w:rFonts w:cs="Arial"/>
          <w:iCs/>
          <w:szCs w:val="24"/>
          <w:lang w:val="pt-BR"/>
        </w:rPr>
        <w:t xml:space="preserve">. </w:t>
      </w:r>
    </w:p>
    <w:p w14:paraId="16CEFA41" w14:textId="400BF1F4" w:rsidR="00787889" w:rsidRPr="00787889" w:rsidRDefault="00787889" w:rsidP="00787889">
      <w:pPr>
        <w:pStyle w:val="PargrafodaLista"/>
        <w:numPr>
          <w:ilvl w:val="0"/>
          <w:numId w:val="9"/>
        </w:numPr>
        <w:rPr>
          <w:rFonts w:cs="Arial"/>
          <w:iCs/>
          <w:szCs w:val="24"/>
          <w:lang w:val="pt-BR"/>
        </w:rPr>
      </w:pPr>
      <w:r w:rsidRPr="00787889">
        <w:rPr>
          <w:rFonts w:cs="Arial"/>
          <w:b/>
          <w:bCs/>
          <w:iCs/>
          <w:szCs w:val="24"/>
          <w:lang w:val="pt-BR"/>
        </w:rPr>
        <w:t>Racionalidade administrativa:</w:t>
      </w:r>
      <w:r w:rsidRPr="00787889">
        <w:rPr>
          <w:rFonts w:cs="Arial"/>
          <w:iCs/>
          <w:szCs w:val="24"/>
          <w:lang w:val="pt-BR"/>
        </w:rPr>
        <w:t xml:space="preserve"> a instauração de um novo procedimento licitatório não garante condições mais vantajosas que as atualmente vigentes, além de demandar tempo e custos adicionais. </w:t>
      </w:r>
      <w:r w:rsidRPr="00787889">
        <w:rPr>
          <w:rFonts w:cs="Arial"/>
          <w:iCs/>
          <w:szCs w:val="24"/>
        </w:rPr>
        <w:t xml:space="preserve">A instrução processual impacta </w:t>
      </w:r>
      <w:r w:rsidRPr="00787889">
        <w:rPr>
          <w:rFonts w:cs="Arial"/>
          <w:iCs/>
          <w:szCs w:val="24"/>
        </w:rPr>
        <w:lastRenderedPageBreak/>
        <w:t>sobremaneira no custo administrativo. Quanto mais demorado e complexo o processo maior o gasto de recursos públicos. De tal modo, é fundamental encontrar formas mais eficientes para se alcançar o mesmo resultado.</w:t>
      </w:r>
    </w:p>
    <w:p w14:paraId="0522AEBF" w14:textId="31C67DC4" w:rsidR="00787889" w:rsidRPr="00787889" w:rsidRDefault="00787889" w:rsidP="00787889">
      <w:pPr>
        <w:pStyle w:val="PargrafodaLista"/>
        <w:numPr>
          <w:ilvl w:val="0"/>
          <w:numId w:val="9"/>
        </w:numPr>
        <w:rPr>
          <w:rFonts w:cs="Arial"/>
          <w:iCs/>
          <w:szCs w:val="24"/>
          <w:lang w:val="pt-BR"/>
        </w:rPr>
      </w:pPr>
      <w:r w:rsidRPr="00787889">
        <w:rPr>
          <w:rFonts w:cs="Arial"/>
          <w:b/>
          <w:bCs/>
          <w:iCs/>
          <w:szCs w:val="24"/>
          <w:lang w:val="pt-BR"/>
        </w:rPr>
        <w:t>Continuidade do serviço público:</w:t>
      </w:r>
      <w:r w:rsidRPr="00787889">
        <w:rPr>
          <w:rFonts w:cs="Arial"/>
          <w:iCs/>
          <w:szCs w:val="24"/>
          <w:lang w:val="pt-BR"/>
        </w:rPr>
        <w:t xml:space="preserve"> </w:t>
      </w:r>
      <w:r w:rsidR="001A28AD" w:rsidRPr="001A28AD">
        <w:rPr>
          <w:rFonts w:cs="Arial"/>
          <w:iCs/>
          <w:szCs w:val="24"/>
        </w:rPr>
        <w:t>a prorrogação assegura a manutenção dos serviços em curso sem interrupções, evitando a desmobilização da equipe atual e a consequente perda de conhecimento prático já consolidado na execução contratual</w:t>
      </w:r>
      <w:r w:rsidR="001A28AD">
        <w:rPr>
          <w:rFonts w:cs="Arial"/>
          <w:iCs/>
          <w:szCs w:val="24"/>
        </w:rPr>
        <w:t>.</w:t>
      </w:r>
    </w:p>
    <w:p w14:paraId="2D1E79FD" w14:textId="77777777" w:rsidR="000F136B" w:rsidRPr="000F136B" w:rsidRDefault="00787889" w:rsidP="00581668">
      <w:pPr>
        <w:pStyle w:val="PargrafodaLista"/>
        <w:numPr>
          <w:ilvl w:val="0"/>
          <w:numId w:val="9"/>
        </w:numPr>
        <w:rPr>
          <w:rFonts w:cs="Arial"/>
          <w:iCs/>
          <w:szCs w:val="24"/>
          <w:lang w:val="pt-BR"/>
        </w:rPr>
      </w:pPr>
      <w:r w:rsidRPr="000F136B">
        <w:rPr>
          <w:rFonts w:cs="Arial"/>
          <w:b/>
          <w:bCs/>
          <w:iCs/>
          <w:szCs w:val="24"/>
          <w:lang w:val="pt-BR"/>
        </w:rPr>
        <w:t>Integração aos procedimentos administrativos:</w:t>
      </w:r>
      <w:r w:rsidRPr="000F136B">
        <w:rPr>
          <w:rFonts w:cs="Arial"/>
          <w:iCs/>
          <w:szCs w:val="24"/>
          <w:lang w:val="pt-BR"/>
        </w:rPr>
        <w:t xml:space="preserve"> </w:t>
      </w:r>
      <w:r w:rsidR="000F136B" w:rsidRPr="000F136B">
        <w:rPr>
          <w:rFonts w:cs="Arial"/>
          <w:iCs/>
          <w:szCs w:val="24"/>
        </w:rPr>
        <w:t>a contratada encontra-se plenamente assimilada às rotinas administrativas e aos mecanismos de fiscalização previstos no plano de gestão do contrato, circunstância que garante maior previsibilidade e segurança na execução. Essa integração contribui para mitigar riscos de inconformidades, inconsistências documentais ou atrasos na tramitação processual, além de assegurar maior estabilidade e eficiência no acompanhamento contratual por parte da Administração.</w:t>
      </w:r>
    </w:p>
    <w:p w14:paraId="33C6A95C" w14:textId="77777777" w:rsidR="000F136B" w:rsidRDefault="000F136B" w:rsidP="000F136B">
      <w:pPr>
        <w:pStyle w:val="PargrafodaLista"/>
        <w:ind w:left="720"/>
        <w:rPr>
          <w:rFonts w:cs="Arial"/>
          <w:b/>
          <w:bCs/>
          <w:iCs/>
          <w:szCs w:val="24"/>
          <w:lang w:val="pt-BR"/>
        </w:rPr>
      </w:pPr>
    </w:p>
    <w:p w14:paraId="0ECE4651" w14:textId="053A972F" w:rsidR="00787889" w:rsidRPr="000F136B" w:rsidRDefault="00787889" w:rsidP="000F136B">
      <w:pPr>
        <w:pStyle w:val="PargrafodaLista"/>
        <w:ind w:left="720"/>
        <w:rPr>
          <w:rFonts w:cs="Arial"/>
          <w:iCs/>
          <w:szCs w:val="24"/>
          <w:lang w:val="pt-BR"/>
        </w:rPr>
      </w:pPr>
      <w:r w:rsidRPr="000F136B">
        <w:rPr>
          <w:rFonts w:cs="Arial"/>
          <w:iCs/>
          <w:szCs w:val="24"/>
          <w:lang w:val="pt-BR"/>
        </w:rPr>
        <w:t>Portanto, além dos aspectos econômicos, a prorrogação do contrato revela-se tecnicamente vantajosa e juridicamente adequada, garantindo a continuidade, a eficiência e a economicidade na prestação dos serviços</w:t>
      </w:r>
      <w:bookmarkEnd w:id="8"/>
      <w:r w:rsidRPr="000F136B">
        <w:rPr>
          <w:rFonts w:cs="Arial"/>
          <w:iCs/>
          <w:szCs w:val="24"/>
          <w:lang w:val="pt-BR"/>
        </w:rPr>
        <w:t>.</w:t>
      </w:r>
    </w:p>
    <w:p w14:paraId="0646E378" w14:textId="77777777" w:rsidR="007236D4" w:rsidRDefault="007236D4" w:rsidP="00392F10">
      <w:pPr>
        <w:pStyle w:val="PargrafodaLista"/>
        <w:ind w:left="0"/>
        <w:rPr>
          <w:rFonts w:cs="Arial"/>
          <w:iCs/>
          <w:szCs w:val="24"/>
        </w:rPr>
      </w:pPr>
    </w:p>
    <w:p w14:paraId="78289C83" w14:textId="77777777" w:rsidR="005E50A3" w:rsidRDefault="00392F10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>
        <w:rPr>
          <w:rFonts w:cs="Arial"/>
          <w:b/>
          <w:szCs w:val="24"/>
          <w:u w:val="single"/>
        </w:rPr>
        <w:t>Manutenção das c</w:t>
      </w:r>
      <w:r w:rsidR="00EB6CEF" w:rsidRPr="00B831AC">
        <w:rPr>
          <w:rFonts w:cs="Arial"/>
          <w:b/>
          <w:szCs w:val="24"/>
          <w:u w:val="single"/>
        </w:rPr>
        <w:t xml:space="preserve">ondições </w:t>
      </w:r>
      <w:r>
        <w:rPr>
          <w:rFonts w:cs="Arial"/>
          <w:b/>
          <w:szCs w:val="24"/>
          <w:u w:val="single"/>
        </w:rPr>
        <w:t xml:space="preserve">inciais </w:t>
      </w:r>
      <w:r w:rsidR="00EB6CEF" w:rsidRPr="00B831AC">
        <w:rPr>
          <w:rFonts w:cs="Arial"/>
          <w:b/>
          <w:szCs w:val="24"/>
          <w:u w:val="single"/>
        </w:rPr>
        <w:t>da habilitação</w:t>
      </w:r>
      <w:r w:rsidR="00EB6CEF">
        <w:rPr>
          <w:rFonts w:cs="Arial"/>
          <w:szCs w:val="24"/>
        </w:rPr>
        <w:t xml:space="preserve"> </w:t>
      </w:r>
      <w:r w:rsidR="00EB6CEF" w:rsidRPr="00053D55">
        <w:rPr>
          <w:rFonts w:cs="Arial"/>
          <w:bCs/>
          <w:szCs w:val="24"/>
        </w:rPr>
        <w:t>(Item 3, letra “f” anexo IX, IN 05/2017).</w:t>
      </w:r>
      <w:r w:rsidR="00EB6CEF" w:rsidRPr="00053D55">
        <w:rPr>
          <w:rFonts w:cs="Arial"/>
          <w:szCs w:val="24"/>
        </w:rPr>
        <w:t xml:space="preserve"> </w:t>
      </w:r>
    </w:p>
    <w:p w14:paraId="058CF540" w14:textId="7B8E106D" w:rsidR="00172BE8" w:rsidRDefault="00392F10" w:rsidP="005E50A3">
      <w:pPr>
        <w:pStyle w:val="PargrafodaLista"/>
        <w:spacing w:after="240"/>
        <w:ind w:left="0" w:right="20"/>
        <w:rPr>
          <w:rFonts w:cs="Arial"/>
          <w:szCs w:val="24"/>
        </w:rPr>
      </w:pPr>
      <w:bookmarkStart w:id="9" w:name="_Hlk207278267"/>
      <w:r w:rsidRPr="00392F10">
        <w:rPr>
          <w:rFonts w:cs="Arial"/>
          <w:szCs w:val="24"/>
        </w:rPr>
        <w:t xml:space="preserve">Conforme informações do Sistema de Cadastramento Unificado de Fornecedores – SICAF (seq. </w:t>
      </w:r>
      <w:r w:rsidRPr="00FE39DB">
        <w:rPr>
          <w:rFonts w:cs="Arial"/>
          <w:color w:val="FF0000"/>
          <w:szCs w:val="24"/>
        </w:rPr>
        <w:t>xx</w:t>
      </w:r>
      <w:r w:rsidRPr="00392F10">
        <w:rPr>
          <w:rFonts w:cs="Arial"/>
          <w:szCs w:val="24"/>
        </w:rPr>
        <w:t>), a contratada mantém as condições iniciais de habilitação.</w:t>
      </w:r>
    </w:p>
    <w:p w14:paraId="0FE8363A" w14:textId="3D3B80DA" w:rsidR="00392F10" w:rsidRDefault="009451B1" w:rsidP="009451B1">
      <w:pPr>
        <w:pStyle w:val="PargrafodaLista"/>
        <w:spacing w:after="240"/>
        <w:ind w:left="0" w:right="20"/>
        <w:rPr>
          <w:rFonts w:cs="Arial"/>
          <w:szCs w:val="24"/>
        </w:rPr>
      </w:pPr>
      <w:r>
        <w:rPr>
          <w:rFonts w:cs="Arial"/>
          <w:szCs w:val="24"/>
        </w:rPr>
        <w:t xml:space="preserve">Foi realizada consulta no </w:t>
      </w:r>
      <w:r w:rsidR="00392F10" w:rsidRPr="00392F10">
        <w:rPr>
          <w:rFonts w:cs="Arial"/>
          <w:szCs w:val="24"/>
        </w:rPr>
        <w:t xml:space="preserve">Cadastro Informativo de Créditos Não Quitados do Setor Público Federal - CADIN (Seq. </w:t>
      </w:r>
      <w:r w:rsidR="00392F10" w:rsidRPr="00FE39DB">
        <w:rPr>
          <w:rFonts w:cs="Arial"/>
          <w:color w:val="FF0000"/>
          <w:szCs w:val="24"/>
        </w:rPr>
        <w:t>xx</w:t>
      </w:r>
      <w:r w:rsidR="00392F10" w:rsidRPr="00392F10">
        <w:rPr>
          <w:rFonts w:cs="Arial"/>
          <w:szCs w:val="24"/>
        </w:rPr>
        <w:t>)</w:t>
      </w:r>
      <w:r>
        <w:rPr>
          <w:rFonts w:cs="Arial"/>
          <w:szCs w:val="24"/>
        </w:rPr>
        <w:t>, demonstrando a inexistência de pendência que impediria a contratação e respectivos aditamentos.</w:t>
      </w:r>
    </w:p>
    <w:p w14:paraId="48A31E9A" w14:textId="6E263C53" w:rsidR="009451B1" w:rsidRPr="009451B1" w:rsidRDefault="009451B1" w:rsidP="009451B1">
      <w:pPr>
        <w:pStyle w:val="PargrafodaLista"/>
        <w:spacing w:after="240"/>
        <w:ind w:left="0" w:right="20"/>
        <w:rPr>
          <w:rFonts w:cs="Arial"/>
          <w:color w:val="0000FF"/>
          <w:szCs w:val="24"/>
        </w:rPr>
      </w:pPr>
      <w:r w:rsidRPr="009451B1">
        <w:rPr>
          <w:rFonts w:cs="Arial"/>
          <w:color w:val="0000FF"/>
          <w:szCs w:val="24"/>
          <w:lang w:val="pt-BR"/>
        </w:rPr>
        <w:t xml:space="preserve">[Observação: a eventual existência de pendência no CADIN impede a contratação e respectivos aditamentos (art.6º-A, da Lei nº 10.522, de 2002, incluído pela Lei nº 14.973, de 20 24). Registre-se que o art. 20 da Lei nº 14.973, de 2024, ao alterar a Lei nº 10.522, de 2002, não deixou dúvidas sobre a impossibilidade de celebração do contrato e dos correspondentes aditivos com empresas inscritas no CADIN , bem </w:t>
      </w:r>
      <w:r w:rsidRPr="009451B1">
        <w:rPr>
          <w:rFonts w:cs="Arial"/>
          <w:color w:val="0000FF"/>
          <w:szCs w:val="24"/>
          <w:lang w:val="pt-BR"/>
        </w:rPr>
        <w:lastRenderedPageBreak/>
        <w:t>como, nos termos de seu art. 50, a Lei nº 14.973, de 2024, tal medida entrou em vigor na data de sua publicação. Nos termos do parecer nº 0063/2024/DECOR/CGU/AGU, para contratos celebrados antes de 16.09.2024, data da publicação da Lei n.14.973, de 2024, caberá ao gestor considerar os obstáculos e as dificuldades reais do caso diante das exigências das políticas públicas a seu cargo (art. 22 da LINDB), avaliando as alternativas para a manutenção da prestação do serviço e as consequências práticas da decisão (art. 20, caput e parágrafo único, LINDB), sem se descuidar do disposto no art. 6º-A da Lei 10.522/2002 incluído pela Lei nº14.973, de 2024 (art. 147, da Lei n.º 14.133/2021). Trata-se de questão técnica a cargo do gestor.]</w:t>
      </w:r>
    </w:p>
    <w:bookmarkEnd w:id="9"/>
    <w:p w14:paraId="065EA676" w14:textId="3E05C143" w:rsidR="005E50A3" w:rsidRDefault="00392F10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5E50A3">
        <w:rPr>
          <w:rFonts w:cs="Arial"/>
          <w:b/>
          <w:szCs w:val="24"/>
          <w:u w:val="single"/>
        </w:rPr>
        <w:t>Inexistência de penalidades (impedimento/declaração de inidoneidade da empresa)</w:t>
      </w:r>
      <w:r w:rsidRPr="005E50A3">
        <w:rPr>
          <w:rFonts w:cs="Arial"/>
          <w:szCs w:val="24"/>
        </w:rPr>
        <w:t xml:space="preserve"> </w:t>
      </w:r>
      <w:r w:rsidRPr="00053D55">
        <w:rPr>
          <w:rFonts w:cs="Arial"/>
          <w:bCs/>
          <w:szCs w:val="24"/>
        </w:rPr>
        <w:t>(</w:t>
      </w:r>
      <w:r w:rsidRPr="00053D55">
        <w:rPr>
          <w:rFonts w:cs="Arial"/>
          <w:bCs/>
          <w:szCs w:val="24"/>
          <w:lang w:val="pt-BR"/>
        </w:rPr>
        <w:t>item 11, letra “b”, do anexo IX da IN SEGES/MP nº 05, de 2017):</w:t>
      </w:r>
      <w:r w:rsidRPr="005E50A3">
        <w:rPr>
          <w:rFonts w:cs="Arial"/>
          <w:szCs w:val="24"/>
        </w:rPr>
        <w:t xml:space="preserve"> </w:t>
      </w:r>
    </w:p>
    <w:p w14:paraId="56052AC9" w14:textId="79B05960" w:rsidR="009451B1" w:rsidRDefault="009451B1" w:rsidP="005E50A3">
      <w:pPr>
        <w:pStyle w:val="PargrafodaLista"/>
        <w:spacing w:after="240"/>
        <w:ind w:left="0" w:right="20"/>
        <w:rPr>
          <w:rFonts w:cs="Arial"/>
          <w:szCs w:val="24"/>
        </w:rPr>
      </w:pPr>
      <w:bookmarkStart w:id="10" w:name="_Hlk207278294"/>
      <w:r>
        <w:rPr>
          <w:rFonts w:cs="Arial"/>
          <w:szCs w:val="24"/>
        </w:rPr>
        <w:t>Além do SICAF, f</w:t>
      </w:r>
      <w:r w:rsidRPr="009451B1">
        <w:rPr>
          <w:rFonts w:cs="Arial"/>
          <w:szCs w:val="24"/>
        </w:rPr>
        <w:t xml:space="preserve">oi realizada consulta consolidada de pessoa jurídica do TCU (seq. </w:t>
      </w:r>
      <w:r w:rsidRPr="009451B1">
        <w:rPr>
          <w:rFonts w:cs="Arial"/>
          <w:color w:val="FF0000"/>
          <w:szCs w:val="24"/>
        </w:rPr>
        <w:t>xx</w:t>
      </w:r>
      <w:r w:rsidRPr="009451B1">
        <w:rPr>
          <w:rFonts w:cs="Arial"/>
          <w:szCs w:val="24"/>
        </w:rPr>
        <w:t xml:space="preserve">), a qual abrange os seguintes cadastros: Licitantes inidôneos (TCU); Cadastro Nacional de Condenações Cíveis por Ato de Improbidade Administrativa e Inelegibilidade (CNJ); Casdastro Nacional de Empresas Inidôneas e Suspensas (portal da transparência) e Cadastro nacional de Empresas Punidas (Portal da Transparência). </w:t>
      </w:r>
      <w:r>
        <w:rPr>
          <w:rFonts w:cs="Arial"/>
          <w:szCs w:val="24"/>
        </w:rPr>
        <w:t>Verificou-se</w:t>
      </w:r>
      <w:r w:rsidRPr="009451B1">
        <w:rPr>
          <w:rFonts w:cs="Arial"/>
          <w:szCs w:val="24"/>
        </w:rPr>
        <w:t xml:space="preserve"> que, neste momento, não havia sanção administrativa ou judicial, em desfavor da empresa que a impedisse de contratar</w:t>
      </w:r>
      <w:r>
        <w:rPr>
          <w:rFonts w:cs="Arial"/>
          <w:szCs w:val="24"/>
        </w:rPr>
        <w:t>, o</w:t>
      </w:r>
      <w:r w:rsidR="00053D55" w:rsidRPr="005E50A3">
        <w:rPr>
          <w:rFonts w:cs="Arial"/>
          <w:szCs w:val="24"/>
        </w:rPr>
        <w:t>bservadas as abrangências de aplicação</w:t>
      </w:r>
      <w:r>
        <w:rPr>
          <w:rFonts w:cs="Arial"/>
          <w:szCs w:val="24"/>
        </w:rPr>
        <w:t xml:space="preserve">. Não há também ocorrências impeditivas indiretas, conform relatório do SICAF (seq. </w:t>
      </w:r>
      <w:r w:rsidRPr="009451B1">
        <w:rPr>
          <w:rFonts w:cs="Arial"/>
          <w:color w:val="FF0000"/>
          <w:szCs w:val="24"/>
        </w:rPr>
        <w:t>xx</w:t>
      </w:r>
      <w:r>
        <w:rPr>
          <w:rFonts w:cs="Arial"/>
          <w:szCs w:val="24"/>
        </w:rPr>
        <w:t>)</w:t>
      </w:r>
    </w:p>
    <w:bookmarkEnd w:id="10"/>
    <w:p w14:paraId="3C0E4D05" w14:textId="77777777" w:rsidR="00053D55" w:rsidRDefault="00EB6CEF" w:rsidP="003E241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5E50A3">
        <w:rPr>
          <w:rFonts w:cs="Arial"/>
          <w:b/>
          <w:szCs w:val="24"/>
          <w:u w:val="single"/>
        </w:rPr>
        <w:t xml:space="preserve">Negociação contratual </w:t>
      </w:r>
      <w:r w:rsidR="00C51974" w:rsidRPr="005E50A3">
        <w:rPr>
          <w:rFonts w:cs="Arial"/>
          <w:b/>
          <w:szCs w:val="24"/>
          <w:u w:val="single"/>
        </w:rPr>
        <w:t xml:space="preserve"> </w:t>
      </w:r>
      <w:r w:rsidRPr="00053D55">
        <w:rPr>
          <w:rFonts w:cs="Arial"/>
          <w:szCs w:val="24"/>
        </w:rPr>
        <w:t>(Item 9, anexo IX, IN 05/2017).</w:t>
      </w:r>
      <w:r w:rsidRPr="005E50A3">
        <w:rPr>
          <w:rFonts w:cs="Arial"/>
          <w:szCs w:val="24"/>
        </w:rPr>
        <w:t xml:space="preserve"> </w:t>
      </w:r>
      <w:r w:rsidR="005E50A3" w:rsidRPr="005E50A3">
        <w:rPr>
          <w:rFonts w:cs="Arial"/>
          <w:szCs w:val="24"/>
        </w:rPr>
        <w:t xml:space="preserve"> </w:t>
      </w:r>
    </w:p>
    <w:p w14:paraId="5421FC24" w14:textId="44B4BF9A" w:rsidR="002811D5" w:rsidRDefault="002811D5" w:rsidP="00053D55">
      <w:pPr>
        <w:pStyle w:val="PargrafodaLista"/>
        <w:spacing w:after="240"/>
        <w:ind w:left="0" w:right="20"/>
        <w:rPr>
          <w:rFonts w:cs="Arial"/>
          <w:szCs w:val="24"/>
        </w:rPr>
      </w:pPr>
      <w:bookmarkStart w:id="11" w:name="_Hlk207278316"/>
      <w:r>
        <w:rPr>
          <w:rFonts w:cs="Arial"/>
          <w:szCs w:val="24"/>
        </w:rPr>
        <w:t xml:space="preserve">Nos termos da cláusula </w:t>
      </w:r>
      <w:r w:rsidRPr="009B3A83">
        <w:rPr>
          <w:rFonts w:cs="Arial"/>
          <w:color w:val="FF0000"/>
          <w:szCs w:val="24"/>
        </w:rPr>
        <w:t>xx</w:t>
      </w:r>
      <w:r>
        <w:rPr>
          <w:rFonts w:cs="Arial"/>
          <w:szCs w:val="24"/>
        </w:rPr>
        <w:t xml:space="preserve"> do contrato nº </w:t>
      </w:r>
      <w:r w:rsidRPr="009B3A83">
        <w:rPr>
          <w:rFonts w:cs="Arial"/>
          <w:color w:val="FF0000"/>
          <w:szCs w:val="24"/>
        </w:rPr>
        <w:t>xx/xxx</w:t>
      </w:r>
      <w:r>
        <w:rPr>
          <w:rFonts w:cs="Arial"/>
          <w:szCs w:val="24"/>
        </w:rPr>
        <w:t xml:space="preserve">, em conformidade </w:t>
      </w:r>
      <w:r w:rsidR="005E50A3" w:rsidRPr="005E50A3">
        <w:rPr>
          <w:rFonts w:cs="Arial"/>
          <w:szCs w:val="24"/>
        </w:rPr>
        <w:t xml:space="preserve">com o disposto no item 9 do anexo IX da IN 05/2017 e Nota Técnica nº 652/2017 – MP, </w:t>
      </w:r>
      <w:r>
        <w:rPr>
          <w:rFonts w:cs="Arial"/>
          <w:szCs w:val="24"/>
        </w:rPr>
        <w:t>os custos não renováveis já pagos ou amortizados ao longo do primeiro período de vigência da contratação deverão ser reduzidos ou eliminados como condição para a renovação.</w:t>
      </w:r>
      <w:r w:rsidR="00E40F66">
        <w:rPr>
          <w:rFonts w:cs="Arial"/>
          <w:szCs w:val="24"/>
        </w:rPr>
        <w:t xml:space="preserve"> A análise dos referidos custos foi realizada pela </w:t>
      </w:r>
      <w:r w:rsidR="00CC3A4C">
        <w:rPr>
          <w:rFonts w:cs="Arial"/>
          <w:szCs w:val="24"/>
        </w:rPr>
        <w:t>equipe de fiscalização</w:t>
      </w:r>
      <w:r w:rsidR="00E40F66">
        <w:rPr>
          <w:rFonts w:cs="Arial"/>
          <w:szCs w:val="24"/>
        </w:rPr>
        <w:t xml:space="preserve">, conforme consta no relatório nº </w:t>
      </w:r>
      <w:r w:rsidR="00E40F66" w:rsidRPr="00E40F66">
        <w:rPr>
          <w:rFonts w:cs="Arial"/>
          <w:color w:val="FF0000"/>
          <w:szCs w:val="24"/>
        </w:rPr>
        <w:t>xx</w:t>
      </w:r>
      <w:r w:rsidR="00E40F66">
        <w:rPr>
          <w:rFonts w:cs="Arial"/>
          <w:szCs w:val="24"/>
        </w:rPr>
        <w:t xml:space="preserve"> (seq. </w:t>
      </w:r>
      <w:r w:rsidR="00E40F66" w:rsidRPr="00E40F66">
        <w:rPr>
          <w:rFonts w:cs="Arial"/>
          <w:color w:val="FF0000"/>
          <w:szCs w:val="24"/>
        </w:rPr>
        <w:t>xx</w:t>
      </w:r>
      <w:r w:rsidR="00E40F66">
        <w:rPr>
          <w:rFonts w:cs="Arial"/>
          <w:szCs w:val="24"/>
        </w:rPr>
        <w:t>)</w:t>
      </w:r>
      <w:r>
        <w:rPr>
          <w:rFonts w:cs="Arial"/>
          <w:szCs w:val="24"/>
        </w:rPr>
        <w:t xml:space="preserve"> </w:t>
      </w:r>
      <w:r w:rsidR="00CC3A4C">
        <w:rPr>
          <w:rFonts w:cs="Arial"/>
          <w:szCs w:val="24"/>
        </w:rPr>
        <w:t>.</w:t>
      </w:r>
    </w:p>
    <w:bookmarkEnd w:id="11"/>
    <w:p w14:paraId="48305401" w14:textId="77777777" w:rsidR="00053D55" w:rsidRPr="00053D55" w:rsidRDefault="00EB6CEF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392F10">
        <w:rPr>
          <w:rFonts w:cs="Arial"/>
          <w:b/>
          <w:szCs w:val="24"/>
          <w:u w:val="single"/>
        </w:rPr>
        <w:t>Mapa de riscos</w:t>
      </w:r>
      <w:r w:rsidRPr="00392F10">
        <w:rPr>
          <w:rFonts w:cs="Arial"/>
          <w:szCs w:val="24"/>
        </w:rPr>
        <w:t xml:space="preserve"> </w:t>
      </w:r>
      <w:r w:rsidRPr="00053D55">
        <w:rPr>
          <w:rFonts w:cs="Arial"/>
          <w:bCs/>
          <w:szCs w:val="24"/>
        </w:rPr>
        <w:t>(art. 26, §1º, IV, IN 05/217)</w:t>
      </w:r>
      <w:r w:rsidRPr="00392F10">
        <w:rPr>
          <w:rFonts w:cs="Arial"/>
          <w:b/>
          <w:bCs/>
          <w:szCs w:val="24"/>
        </w:rPr>
        <w:t xml:space="preserve"> </w:t>
      </w:r>
    </w:p>
    <w:p w14:paraId="364F4794" w14:textId="1E44E180" w:rsidR="00EB6CEF" w:rsidRPr="00392F10" w:rsidRDefault="00EB6CEF" w:rsidP="00053D55">
      <w:pPr>
        <w:pStyle w:val="PargrafodaLista"/>
        <w:spacing w:after="240"/>
        <w:ind w:left="0" w:right="20"/>
        <w:rPr>
          <w:rFonts w:cs="Arial"/>
          <w:szCs w:val="24"/>
        </w:rPr>
      </w:pPr>
      <w:r w:rsidRPr="00C06B2F">
        <w:rPr>
          <w:rFonts w:cs="Arial"/>
          <w:szCs w:val="24"/>
        </w:rPr>
        <w:t xml:space="preserve">Não houve evento relevante, durante a fase de gestão do contrato, que justifique a </w:t>
      </w:r>
      <w:r w:rsidRPr="00C06B2F">
        <w:rPr>
          <w:rFonts w:cs="Arial"/>
          <w:szCs w:val="24"/>
        </w:rPr>
        <w:lastRenderedPageBreak/>
        <w:t>atualização e juntada do Mapa de Riscos</w:t>
      </w:r>
      <w:r w:rsidR="00392F10" w:rsidRPr="00392F10">
        <w:rPr>
          <w:rFonts w:cs="Arial"/>
          <w:szCs w:val="24"/>
        </w:rPr>
        <w:t xml:space="preserve">. </w:t>
      </w:r>
      <w:bookmarkStart w:id="12" w:name="_Hlk193967095"/>
      <w:r w:rsidR="00392F10" w:rsidRPr="00C06B2F">
        <w:rPr>
          <w:rFonts w:cs="Arial"/>
          <w:color w:val="FF0000"/>
          <w:szCs w:val="24"/>
        </w:rPr>
        <w:t>Verificou-se que no mapa de riscos</w:t>
      </w:r>
      <w:r w:rsidR="00B43CBD" w:rsidRPr="00C06B2F">
        <w:rPr>
          <w:rFonts w:cs="Arial"/>
          <w:color w:val="FF0000"/>
          <w:szCs w:val="24"/>
        </w:rPr>
        <w:t xml:space="preserve"> </w:t>
      </w:r>
      <w:r w:rsidR="004E2063">
        <w:rPr>
          <w:rFonts w:cs="Arial"/>
          <w:color w:val="FF0000"/>
          <w:szCs w:val="24"/>
        </w:rPr>
        <w:t>original</w:t>
      </w:r>
      <w:r w:rsidR="00392F10" w:rsidRPr="00C06B2F">
        <w:rPr>
          <w:rFonts w:cs="Arial"/>
          <w:color w:val="FF0000"/>
          <w:szCs w:val="24"/>
        </w:rPr>
        <w:t xml:space="preserve"> da contratação consta o </w:t>
      </w:r>
      <w:r w:rsidR="00392F10" w:rsidRPr="00C06B2F">
        <w:rPr>
          <w:rFonts w:cs="Arial"/>
          <w:color w:val="FF0000"/>
          <w:szCs w:val="24"/>
          <w:lang w:val="pt-BR"/>
        </w:rPr>
        <w:t>tratamento do risco de descumprimento das obrigações trabalhistas, previdenciárias e de recolhimento de FGTS, nos termos do art. 18, §1º, da IN SEGES/MP nº 05/2017</w:t>
      </w:r>
      <w:bookmarkStart w:id="13" w:name="_Hlk207278335"/>
      <w:bookmarkEnd w:id="12"/>
      <w:r w:rsidR="00392F10" w:rsidRPr="00C06B2F">
        <w:rPr>
          <w:rFonts w:cs="Arial"/>
          <w:szCs w:val="24"/>
          <w:lang w:val="pt-BR"/>
        </w:rPr>
        <w:t>.</w:t>
      </w:r>
      <w:r w:rsidR="00856869" w:rsidRPr="0030213B">
        <w:rPr>
          <w:rFonts w:cs="Arial"/>
          <w:szCs w:val="24"/>
          <w:lang w:val="pt-BR"/>
        </w:rPr>
        <w:t xml:space="preserve"> </w:t>
      </w:r>
      <w:r w:rsidR="00856869" w:rsidRPr="0030213B">
        <w:rPr>
          <w:rFonts w:cs="Arial"/>
          <w:color w:val="0000FF"/>
          <w:szCs w:val="24"/>
          <w:lang w:val="pt-BR"/>
        </w:rPr>
        <w:t>[</w:t>
      </w:r>
      <w:r w:rsidR="00CC3A4C" w:rsidRPr="0030213B">
        <w:rPr>
          <w:rFonts w:cs="Arial"/>
          <w:color w:val="0000FF"/>
          <w:szCs w:val="24"/>
          <w:lang w:val="pt-BR"/>
        </w:rPr>
        <w:t>Caso não haja a previsão destacada acima</w:t>
      </w:r>
      <w:bookmarkStart w:id="14" w:name="_Hlk198899872"/>
      <w:r w:rsidR="007224E3">
        <w:rPr>
          <w:rFonts w:cs="Arial"/>
          <w:color w:val="0000FF"/>
          <w:szCs w:val="24"/>
          <w:lang w:val="pt-BR"/>
        </w:rPr>
        <w:t xml:space="preserve"> ou</w:t>
      </w:r>
      <w:r w:rsidR="00AA32F2" w:rsidRPr="0030213B">
        <w:rPr>
          <w:rFonts w:cs="Arial"/>
          <w:color w:val="0000FF"/>
          <w:szCs w:val="24"/>
          <w:lang w:val="pt-BR"/>
        </w:rPr>
        <w:t xml:space="preserve"> tenha ocorrido fato relevante durante a </w:t>
      </w:r>
      <w:r w:rsidR="00EC7AB8" w:rsidRPr="0030213B">
        <w:rPr>
          <w:rFonts w:cs="Arial"/>
          <w:color w:val="0000FF"/>
          <w:szCs w:val="24"/>
          <w:lang w:val="pt-BR"/>
        </w:rPr>
        <w:t>gestão contratual</w:t>
      </w:r>
      <w:r w:rsidR="00AA32F2" w:rsidRPr="0030213B">
        <w:rPr>
          <w:rFonts w:cs="Arial"/>
          <w:color w:val="0000FF"/>
          <w:szCs w:val="24"/>
          <w:lang w:val="pt-BR"/>
        </w:rPr>
        <w:t xml:space="preserve"> cujo tratamento do risco não estava </w:t>
      </w:r>
      <w:r w:rsidR="004E2063" w:rsidRPr="0030213B">
        <w:rPr>
          <w:rFonts w:cs="Arial"/>
          <w:color w:val="0000FF"/>
          <w:szCs w:val="24"/>
          <w:lang w:val="pt-BR"/>
        </w:rPr>
        <w:t xml:space="preserve">inicialmente </w:t>
      </w:r>
      <w:r w:rsidR="00AA32F2" w:rsidRPr="0030213B">
        <w:rPr>
          <w:rFonts w:cs="Arial"/>
          <w:color w:val="0000FF"/>
          <w:szCs w:val="24"/>
          <w:lang w:val="pt-BR"/>
        </w:rPr>
        <w:t>previsto,</w:t>
      </w:r>
      <w:r w:rsidR="00FE39DB" w:rsidRPr="0030213B">
        <w:rPr>
          <w:rFonts w:cs="Arial"/>
          <w:color w:val="0000FF"/>
          <w:szCs w:val="24"/>
          <w:lang w:val="pt-BR"/>
        </w:rPr>
        <w:t xml:space="preserve"> o texto deve ser ajustado e</w:t>
      </w:r>
      <w:r w:rsidR="00AA32F2" w:rsidRPr="0030213B">
        <w:rPr>
          <w:rFonts w:cs="Arial"/>
          <w:color w:val="0000FF"/>
          <w:szCs w:val="24"/>
          <w:lang w:val="pt-BR"/>
        </w:rPr>
        <w:t xml:space="preserve"> </w:t>
      </w:r>
      <w:r w:rsidR="004E2063" w:rsidRPr="0030213B">
        <w:rPr>
          <w:rFonts w:cs="Arial"/>
          <w:color w:val="0000FF"/>
          <w:szCs w:val="24"/>
          <w:lang w:val="pt-BR"/>
        </w:rPr>
        <w:t>o documento atualizado juntado aos autos</w:t>
      </w:r>
      <w:bookmarkEnd w:id="14"/>
      <w:r w:rsidR="00AA32F2" w:rsidRPr="0030213B">
        <w:rPr>
          <w:rFonts w:cs="Arial"/>
          <w:color w:val="0000FF"/>
          <w:szCs w:val="24"/>
          <w:lang w:val="pt-BR"/>
        </w:rPr>
        <w:t>]</w:t>
      </w:r>
      <w:bookmarkEnd w:id="13"/>
    </w:p>
    <w:p w14:paraId="39438126" w14:textId="77777777" w:rsidR="00053D55" w:rsidRPr="00053D55" w:rsidRDefault="00392F10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 w:rsidRPr="00392F10">
        <w:rPr>
          <w:rFonts w:cs="Arial"/>
          <w:b/>
          <w:szCs w:val="24"/>
          <w:u w:val="single"/>
        </w:rPr>
        <w:t>Renovaçao da garantia contratual</w:t>
      </w:r>
      <w:r w:rsidRPr="00392F10">
        <w:rPr>
          <w:rFonts w:cs="Arial"/>
          <w:b/>
          <w:szCs w:val="24"/>
        </w:rPr>
        <w:t xml:space="preserve"> </w:t>
      </w:r>
      <w:r w:rsidR="00053D55">
        <w:rPr>
          <w:rFonts w:cs="Arial"/>
          <w:b/>
          <w:szCs w:val="24"/>
        </w:rPr>
        <w:t>(</w:t>
      </w:r>
      <w:r w:rsidRPr="00053D55">
        <w:rPr>
          <w:rFonts w:cs="Arial"/>
          <w:szCs w:val="24"/>
          <w:lang w:val="pt-BR"/>
        </w:rPr>
        <w:t>art. 55, VI, e art. 56, § 4º, da Lei nº8.666/1993 c/c subitem 3.1 do anexo VII-F da IN SEGES/MP nº 05/2017):</w:t>
      </w:r>
      <w:r w:rsidRPr="00392F10">
        <w:rPr>
          <w:rFonts w:cs="Arial"/>
          <w:szCs w:val="24"/>
          <w:lang w:val="pt-BR"/>
        </w:rPr>
        <w:t xml:space="preserve"> </w:t>
      </w:r>
    </w:p>
    <w:p w14:paraId="0B8001FF" w14:textId="1F5CF4B7" w:rsidR="00392F10" w:rsidRPr="00392F10" w:rsidRDefault="00EF1C1C" w:rsidP="00053D55">
      <w:pPr>
        <w:pStyle w:val="PargrafodaLista"/>
        <w:spacing w:after="240"/>
        <w:ind w:left="0" w:right="20"/>
        <w:rPr>
          <w:rFonts w:cs="Arial"/>
          <w:szCs w:val="24"/>
        </w:rPr>
      </w:pPr>
      <w:r w:rsidRPr="00EF1C1C">
        <w:rPr>
          <w:rFonts w:cs="Arial"/>
          <w:szCs w:val="24"/>
          <w:lang w:val="pt-BR"/>
        </w:rPr>
        <w:t>No prazo de 10 (dez) dias úteis contados da assinatura do termo aditivo, a empresa deverá atualizar a garantia prestada.  O valor da garantia deve corresponder à  R$</w:t>
      </w:r>
      <w:r w:rsidR="00A2418B">
        <w:rPr>
          <w:rFonts w:cs="Arial"/>
          <w:szCs w:val="24"/>
          <w:lang w:val="pt-BR"/>
        </w:rPr>
        <w:t xml:space="preserve"> </w:t>
      </w:r>
      <w:r w:rsidRPr="00A2418B">
        <w:rPr>
          <w:rFonts w:cs="Arial"/>
          <w:color w:val="FF0000"/>
          <w:szCs w:val="24"/>
          <w:lang w:val="pt-BR"/>
        </w:rPr>
        <w:t xml:space="preserve">xxxx,xx </w:t>
      </w:r>
      <w:r w:rsidRPr="00EF1C1C">
        <w:rPr>
          <w:rFonts w:cs="Arial"/>
          <w:color w:val="0000FF"/>
          <w:szCs w:val="24"/>
          <w:lang w:val="pt-BR"/>
        </w:rPr>
        <w:t>[5% do valor total do contrato]</w:t>
      </w:r>
      <w:r w:rsidRPr="00EF1C1C">
        <w:rPr>
          <w:rFonts w:cs="Arial"/>
          <w:szCs w:val="24"/>
          <w:lang w:val="pt-BR"/>
        </w:rPr>
        <w:t>, com validade durante a execução do contrato e 90 dias após o térm</w:t>
      </w:r>
      <w:r w:rsidR="00A2418B">
        <w:rPr>
          <w:rFonts w:cs="Arial"/>
          <w:szCs w:val="24"/>
          <w:lang w:val="pt-BR"/>
        </w:rPr>
        <w:t>i</w:t>
      </w:r>
      <w:r w:rsidRPr="00EF1C1C">
        <w:rPr>
          <w:rFonts w:cs="Arial"/>
          <w:szCs w:val="24"/>
          <w:lang w:val="pt-BR"/>
        </w:rPr>
        <w:t xml:space="preserve">no da vigência contratual: de </w:t>
      </w:r>
      <w:r w:rsidRPr="00EF1C1C">
        <w:rPr>
          <w:rFonts w:cs="Arial"/>
          <w:color w:val="FF0000"/>
          <w:szCs w:val="24"/>
          <w:lang w:val="pt-BR"/>
        </w:rPr>
        <w:t xml:space="preserve">DD/MM/AAAA </w:t>
      </w:r>
      <w:r w:rsidRPr="00EF1C1C">
        <w:rPr>
          <w:rFonts w:cs="Arial"/>
          <w:szCs w:val="24"/>
          <w:lang w:val="pt-BR"/>
        </w:rPr>
        <w:t xml:space="preserve">a </w:t>
      </w:r>
      <w:r w:rsidRPr="00EF1C1C">
        <w:rPr>
          <w:rFonts w:cs="Arial"/>
          <w:color w:val="FF0000"/>
          <w:szCs w:val="24"/>
          <w:lang w:val="pt-BR"/>
        </w:rPr>
        <w:t>DD/MM/AAAA</w:t>
      </w:r>
      <w:r w:rsidR="00C06B2F">
        <w:rPr>
          <w:rFonts w:cs="Arial"/>
          <w:szCs w:val="24"/>
          <w:lang w:val="pt-BR"/>
        </w:rPr>
        <w:t>.</w:t>
      </w:r>
    </w:p>
    <w:p w14:paraId="3BCA1EBC" w14:textId="4C136346" w:rsidR="00053D55" w:rsidRDefault="00EB6CEF" w:rsidP="00F54CA2">
      <w:pPr>
        <w:pStyle w:val="PargrafodaLista"/>
        <w:numPr>
          <w:ilvl w:val="0"/>
          <w:numId w:val="5"/>
        </w:numPr>
        <w:spacing w:after="240"/>
        <w:ind w:left="0" w:right="20" w:hanging="11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Pr="00B831AC">
        <w:rPr>
          <w:rFonts w:cs="Arial"/>
          <w:b/>
          <w:szCs w:val="24"/>
          <w:u w:val="single"/>
        </w:rPr>
        <w:t xml:space="preserve">Observância </w:t>
      </w:r>
      <w:r w:rsidR="00B43CBD">
        <w:rPr>
          <w:rFonts w:cs="Arial"/>
          <w:b/>
          <w:szCs w:val="24"/>
          <w:u w:val="single"/>
        </w:rPr>
        <w:t>do prazo total</w:t>
      </w:r>
      <w:r w:rsidRPr="00B831AC">
        <w:rPr>
          <w:rFonts w:cs="Arial"/>
          <w:b/>
          <w:szCs w:val="24"/>
          <w:u w:val="single"/>
        </w:rPr>
        <w:t xml:space="preserve"> de </w:t>
      </w:r>
      <w:r w:rsidR="009D4955">
        <w:rPr>
          <w:rFonts w:cs="Arial"/>
          <w:b/>
          <w:szCs w:val="24"/>
          <w:u w:val="single"/>
        </w:rPr>
        <w:t>10</w:t>
      </w:r>
      <w:r w:rsidRPr="00B831AC">
        <w:rPr>
          <w:rFonts w:cs="Arial"/>
          <w:b/>
          <w:szCs w:val="24"/>
          <w:u w:val="single"/>
        </w:rPr>
        <w:t xml:space="preserve"> (</w:t>
      </w:r>
      <w:r w:rsidR="009D4955">
        <w:rPr>
          <w:rFonts w:cs="Arial"/>
          <w:b/>
          <w:szCs w:val="24"/>
          <w:u w:val="single"/>
        </w:rPr>
        <w:t>dez</w:t>
      </w:r>
      <w:r w:rsidRPr="00B831AC">
        <w:rPr>
          <w:rFonts w:cs="Arial"/>
          <w:b/>
          <w:szCs w:val="24"/>
          <w:u w:val="single"/>
        </w:rPr>
        <w:t xml:space="preserve">) </w:t>
      </w:r>
      <w:r w:rsidR="009D4955">
        <w:rPr>
          <w:rFonts w:cs="Arial"/>
          <w:b/>
          <w:szCs w:val="24"/>
          <w:u w:val="single"/>
        </w:rPr>
        <w:t>anos</w:t>
      </w:r>
      <w:r w:rsidRPr="00DC69F1">
        <w:rPr>
          <w:rFonts w:cs="Arial"/>
          <w:szCs w:val="24"/>
          <w:u w:val="single"/>
        </w:rPr>
        <w:t>.</w:t>
      </w:r>
      <w:r>
        <w:rPr>
          <w:rFonts w:cs="Arial"/>
          <w:szCs w:val="24"/>
        </w:rPr>
        <w:t xml:space="preserve"> </w:t>
      </w:r>
      <w:r w:rsidR="00053D55" w:rsidRPr="007211B5">
        <w:rPr>
          <w:rFonts w:cs="Arial"/>
          <w:szCs w:val="24"/>
        </w:rPr>
        <w:t>(</w:t>
      </w:r>
      <w:r w:rsidR="007211B5" w:rsidRPr="007211B5">
        <w:rPr>
          <w:rFonts w:cs="Arial"/>
          <w:szCs w:val="24"/>
        </w:rPr>
        <w:t>art. 10</w:t>
      </w:r>
      <w:r w:rsidR="008C426A">
        <w:rPr>
          <w:rFonts w:cs="Arial"/>
          <w:szCs w:val="24"/>
        </w:rPr>
        <w:t xml:space="preserve">6 </w:t>
      </w:r>
      <w:r w:rsidR="007211B5" w:rsidRPr="007211B5">
        <w:rPr>
          <w:rFonts w:cs="Arial"/>
          <w:szCs w:val="24"/>
        </w:rPr>
        <w:t>da Lei nº 14.133/2021</w:t>
      </w:r>
      <w:r w:rsidR="00053D55" w:rsidRPr="007211B5">
        <w:rPr>
          <w:rFonts w:cs="Arial"/>
          <w:szCs w:val="24"/>
        </w:rPr>
        <w:t>)</w:t>
      </w:r>
    </w:p>
    <w:p w14:paraId="7CA410AD" w14:textId="19C1CACF" w:rsidR="0030213B" w:rsidRDefault="007211B5" w:rsidP="00053D55">
      <w:pPr>
        <w:pStyle w:val="PargrafodaLista"/>
        <w:spacing w:after="240"/>
        <w:rPr>
          <w:rFonts w:cs="Arial"/>
          <w:szCs w:val="24"/>
        </w:rPr>
      </w:pPr>
      <w:r w:rsidRPr="007211B5">
        <w:rPr>
          <w:rFonts w:cs="Arial"/>
          <w:szCs w:val="24"/>
        </w:rPr>
        <w:t xml:space="preserve">Considerando que as condições e os preços permanecem vantajosos para a Administração, conforme demonstrado </w:t>
      </w:r>
      <w:r w:rsidR="0030213B">
        <w:rPr>
          <w:rFonts w:cs="Arial"/>
          <w:szCs w:val="24"/>
        </w:rPr>
        <w:t>neste relatório</w:t>
      </w:r>
      <w:r w:rsidRPr="007211B5">
        <w:rPr>
          <w:rFonts w:cs="Arial"/>
          <w:szCs w:val="24"/>
        </w:rPr>
        <w:t xml:space="preserve">, o contrato em questão poderá ser prorrogado sucessivamente desde que respeitada a vigência máxima decenal, conforme consta na cláusula </w:t>
      </w:r>
      <w:r w:rsidRPr="007211B5">
        <w:rPr>
          <w:rFonts w:cs="Arial"/>
          <w:color w:val="FF0000"/>
          <w:szCs w:val="24"/>
        </w:rPr>
        <w:t>xx</w:t>
      </w:r>
      <w:r w:rsidRPr="007211B5">
        <w:rPr>
          <w:rFonts w:cs="Arial"/>
          <w:szCs w:val="24"/>
        </w:rPr>
        <w:t xml:space="preserve">. </w:t>
      </w:r>
      <w:bookmarkStart w:id="15" w:name="_Hlk207278394"/>
      <w:r w:rsidR="0030213B">
        <w:rPr>
          <w:rFonts w:cs="Arial"/>
          <w:szCs w:val="24"/>
        </w:rPr>
        <w:t xml:space="preserve">Como o contrato se encontra no seu </w:t>
      </w:r>
      <w:r w:rsidR="0030213B" w:rsidRPr="008C426A">
        <w:rPr>
          <w:rFonts w:cs="Arial"/>
          <w:color w:val="FF0000"/>
          <w:szCs w:val="24"/>
        </w:rPr>
        <w:t>xx</w:t>
      </w:r>
      <w:r w:rsidR="0030213B">
        <w:rPr>
          <w:rFonts w:cs="Arial"/>
          <w:szCs w:val="24"/>
        </w:rPr>
        <w:t xml:space="preserve"> ano de vigência, sua prorrogação está a</w:t>
      </w:r>
      <w:r w:rsidR="008C426A">
        <w:rPr>
          <w:rFonts w:cs="Arial"/>
          <w:szCs w:val="24"/>
        </w:rPr>
        <w:t>m</w:t>
      </w:r>
      <w:r w:rsidR="0030213B">
        <w:rPr>
          <w:rFonts w:cs="Arial"/>
          <w:szCs w:val="24"/>
        </w:rPr>
        <w:t>parada pela Lei nº 14.133/2021,</w:t>
      </w:r>
      <w:r w:rsidR="008C426A">
        <w:rPr>
          <w:rFonts w:cs="Arial"/>
          <w:szCs w:val="24"/>
        </w:rPr>
        <w:t xml:space="preserve"> art. 106, no que tange a vigência contratual máxima.</w:t>
      </w:r>
      <w:bookmarkEnd w:id="15"/>
    </w:p>
    <w:p w14:paraId="3815899C" w14:textId="5A991813" w:rsidR="00053D55" w:rsidRDefault="00EB6CEF" w:rsidP="00F54CA2">
      <w:pPr>
        <w:pStyle w:val="PargrafodaLista"/>
        <w:numPr>
          <w:ilvl w:val="0"/>
          <w:numId w:val="1"/>
        </w:numPr>
        <w:tabs>
          <w:tab w:val="left" w:pos="567"/>
          <w:tab w:val="left" w:pos="851"/>
        </w:tabs>
        <w:spacing w:after="240"/>
        <w:ind w:left="0" w:right="20" w:firstLine="0"/>
        <w:rPr>
          <w:rFonts w:cs="Arial"/>
          <w:szCs w:val="24"/>
        </w:rPr>
      </w:pPr>
      <w:r w:rsidRPr="00FE1139">
        <w:rPr>
          <w:rFonts w:cs="Arial"/>
          <w:b/>
          <w:bCs/>
          <w:szCs w:val="24"/>
        </w:rPr>
        <w:t>Valor do contrato</w:t>
      </w:r>
      <w:r w:rsidR="00FE1139">
        <w:rPr>
          <w:rFonts w:cs="Arial"/>
          <w:b/>
          <w:bCs/>
          <w:szCs w:val="24"/>
        </w:rPr>
        <w:t>:</w:t>
      </w:r>
      <w:r w:rsidRPr="00FA1AE3">
        <w:rPr>
          <w:rFonts w:cs="Arial"/>
          <w:szCs w:val="24"/>
        </w:rPr>
        <w:t xml:space="preserve">  </w:t>
      </w:r>
    </w:p>
    <w:p w14:paraId="4E12DBAC" w14:textId="0C5D4E23" w:rsidR="00EB6CEF" w:rsidRDefault="00EB6CEF" w:rsidP="00053D55">
      <w:pPr>
        <w:pStyle w:val="PargrafodaLista"/>
        <w:tabs>
          <w:tab w:val="left" w:pos="567"/>
          <w:tab w:val="left" w:pos="851"/>
        </w:tabs>
        <w:spacing w:after="240"/>
        <w:ind w:left="0" w:right="20"/>
        <w:rPr>
          <w:rFonts w:cs="Arial"/>
          <w:color w:val="0000FF"/>
          <w:szCs w:val="24"/>
        </w:rPr>
      </w:pPr>
      <w:r>
        <w:rPr>
          <w:rFonts w:cs="Arial"/>
          <w:szCs w:val="24"/>
        </w:rPr>
        <w:t xml:space="preserve">Após </w:t>
      </w:r>
      <w:r w:rsidR="00FE1139">
        <w:rPr>
          <w:rFonts w:cs="Arial"/>
          <w:szCs w:val="24"/>
        </w:rPr>
        <w:t>os devidos ajustes</w:t>
      </w:r>
      <w:r>
        <w:rPr>
          <w:rFonts w:cs="Arial"/>
          <w:szCs w:val="24"/>
        </w:rPr>
        <w:t xml:space="preserve">, o valor mensal do termo aditivo corresponde à R$ </w:t>
      </w:r>
      <w:r w:rsidRPr="00431756">
        <w:rPr>
          <w:rFonts w:cs="Arial"/>
          <w:color w:val="FF0000"/>
          <w:szCs w:val="24"/>
        </w:rPr>
        <w:t xml:space="preserve">xxx,xx </w:t>
      </w:r>
      <w:r w:rsidRPr="00FE1A7D">
        <w:rPr>
          <w:rFonts w:cs="Arial"/>
          <w:color w:val="0000FF"/>
          <w:szCs w:val="24"/>
        </w:rPr>
        <w:t xml:space="preserve">(valor por extenso), </w:t>
      </w:r>
      <w:r>
        <w:rPr>
          <w:rFonts w:cs="Arial"/>
          <w:szCs w:val="24"/>
        </w:rPr>
        <w:t>perfazendo um m</w:t>
      </w:r>
      <w:r w:rsidR="008C426A">
        <w:rPr>
          <w:rFonts w:cs="Arial"/>
          <w:szCs w:val="24"/>
        </w:rPr>
        <w:t>ontante anual</w:t>
      </w:r>
      <w:r>
        <w:rPr>
          <w:rFonts w:cs="Arial"/>
          <w:szCs w:val="24"/>
        </w:rPr>
        <w:t xml:space="preserve"> de R$ </w:t>
      </w:r>
      <w:r w:rsidRPr="00431756">
        <w:rPr>
          <w:rFonts w:cs="Arial"/>
          <w:color w:val="FF0000"/>
          <w:szCs w:val="24"/>
        </w:rPr>
        <w:t xml:space="preserve">xxx,xx </w:t>
      </w:r>
      <w:r w:rsidRPr="00FE1A7D">
        <w:rPr>
          <w:rFonts w:cs="Arial"/>
          <w:color w:val="0000FF"/>
          <w:szCs w:val="24"/>
        </w:rPr>
        <w:t>(valor por extenso)</w:t>
      </w:r>
    </w:p>
    <w:p w14:paraId="564BBC54" w14:textId="723CB1E6" w:rsidR="008C426A" w:rsidRPr="008C426A" w:rsidRDefault="008C426A" w:rsidP="008C426A">
      <w:pPr>
        <w:pStyle w:val="PargrafodaLista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240"/>
        <w:ind w:left="0" w:firstLine="0"/>
        <w:rPr>
          <w:rFonts w:cs="Arial"/>
          <w:b/>
          <w:szCs w:val="24"/>
          <w:lang w:val="pt-BR"/>
        </w:rPr>
      </w:pPr>
      <w:bookmarkStart w:id="16" w:name="_Hlk207278675"/>
      <w:r w:rsidRPr="008C426A">
        <w:rPr>
          <w:rFonts w:cs="Arial"/>
          <w:b/>
          <w:szCs w:val="24"/>
          <w:lang w:val="pt-BR"/>
        </w:rPr>
        <w:t>Informações para o sistema CONTRATOS.GOV</w:t>
      </w:r>
    </w:p>
    <w:p w14:paraId="3284B90F" w14:textId="3B4F3B3F" w:rsidR="008C426A" w:rsidRPr="008C426A" w:rsidRDefault="008C426A" w:rsidP="008C426A">
      <w:pPr>
        <w:pStyle w:val="PargrafodaLista"/>
        <w:tabs>
          <w:tab w:val="left" w:pos="567"/>
          <w:tab w:val="left" w:pos="851"/>
        </w:tabs>
        <w:spacing w:after="240"/>
        <w:rPr>
          <w:rFonts w:cs="Arial"/>
          <w:szCs w:val="24"/>
          <w:lang w:val="pt-BR"/>
        </w:rPr>
      </w:pPr>
      <w:r w:rsidRPr="008C426A">
        <w:rPr>
          <w:rFonts w:cs="Arial"/>
          <w:szCs w:val="24"/>
          <w:lang w:val="pt-BR"/>
        </w:rPr>
        <w:t xml:space="preserve">O </w:t>
      </w:r>
      <w:commentRangeStart w:id="17"/>
      <w:r w:rsidRPr="008C426A">
        <w:rPr>
          <w:rFonts w:cs="Arial"/>
          <w:szCs w:val="24"/>
          <w:lang w:val="pt-BR"/>
        </w:rPr>
        <w:t>valor total do contrato</w:t>
      </w:r>
      <w:r>
        <w:rPr>
          <w:rFonts w:cs="Arial"/>
          <w:szCs w:val="24"/>
          <w:lang w:val="pt-BR"/>
        </w:rPr>
        <w:t xml:space="preserve"> aditivado</w:t>
      </w:r>
      <w:commentRangeEnd w:id="17"/>
      <w:r w:rsidRPr="008C426A">
        <w:rPr>
          <w:rFonts w:cs="Arial"/>
          <w:szCs w:val="24"/>
          <w:lang w:val="pt-BR"/>
        </w:rPr>
        <w:commentReference w:id="17"/>
      </w:r>
      <w:r w:rsidRPr="008C426A">
        <w:rPr>
          <w:rFonts w:cs="Arial"/>
          <w:szCs w:val="24"/>
          <w:lang w:val="pt-BR"/>
        </w:rPr>
        <w:t xml:space="preserve"> corresponderá à R$ </w:t>
      </w:r>
      <w:r w:rsidRPr="008C426A">
        <w:rPr>
          <w:rFonts w:cs="Arial"/>
          <w:color w:val="FF0000"/>
          <w:szCs w:val="24"/>
          <w:lang w:val="pt-BR"/>
        </w:rPr>
        <w:t>xxxx</w:t>
      </w:r>
      <w:r w:rsidRPr="008C426A">
        <w:rPr>
          <w:rFonts w:cs="Arial"/>
          <w:szCs w:val="24"/>
          <w:lang w:val="pt-BR"/>
        </w:rPr>
        <w:t xml:space="preserve"> (</w:t>
      </w:r>
      <w:r w:rsidRPr="008C426A">
        <w:rPr>
          <w:rFonts w:cs="Arial"/>
          <w:color w:val="0000FF"/>
          <w:szCs w:val="24"/>
          <w:lang w:val="pt-BR"/>
        </w:rPr>
        <w:t>valor por extenso</w:t>
      </w:r>
      <w:r w:rsidRPr="008C426A">
        <w:rPr>
          <w:rFonts w:cs="Arial"/>
          <w:szCs w:val="24"/>
          <w:lang w:val="pt-BR"/>
        </w:rPr>
        <w:t xml:space="preserve">), distribuídos pelos itens do contrato da seguinte forma: 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52"/>
        <w:gridCol w:w="1558"/>
        <w:gridCol w:w="1418"/>
        <w:gridCol w:w="2977"/>
      </w:tblGrid>
      <w:tr w:rsidR="008C426A" w:rsidRPr="008C426A" w14:paraId="5E28D4E2" w14:textId="77777777" w:rsidTr="008C426A">
        <w:trPr>
          <w:trHeight w:val="347"/>
        </w:trPr>
        <w:tc>
          <w:tcPr>
            <w:tcW w:w="993" w:type="dxa"/>
            <w:vMerge w:val="restart"/>
            <w:shd w:val="clear" w:color="auto" w:fill="D9D9D9"/>
            <w:vAlign w:val="center"/>
          </w:tcPr>
          <w:p w14:paraId="5B9E3858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 w:right="20"/>
              <w:rPr>
                <w:rFonts w:cs="Arial"/>
                <w:b/>
                <w:sz w:val="22"/>
                <w:szCs w:val="24"/>
                <w:lang w:val="pt-BR"/>
              </w:rPr>
            </w:pPr>
            <w:bookmarkStart w:id="18" w:name="_GoBack" w:colFirst="5" w:colLast="5"/>
            <w:r w:rsidRPr="008C426A">
              <w:rPr>
                <w:rFonts w:cs="Arial"/>
                <w:b/>
                <w:sz w:val="22"/>
                <w:szCs w:val="24"/>
                <w:lang w:val="pt-BR"/>
              </w:rPr>
              <w:lastRenderedPageBreak/>
              <w:t xml:space="preserve">ITEM </w:t>
            </w:r>
          </w:p>
        </w:tc>
        <w:tc>
          <w:tcPr>
            <w:tcW w:w="2552" w:type="dxa"/>
            <w:vMerge w:val="restart"/>
            <w:shd w:val="clear" w:color="auto" w:fill="D9D9D9"/>
            <w:vAlign w:val="center"/>
          </w:tcPr>
          <w:p w14:paraId="5FE481BA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Item (descrição)</w:t>
            </w:r>
          </w:p>
        </w:tc>
        <w:tc>
          <w:tcPr>
            <w:tcW w:w="1558" w:type="dxa"/>
            <w:shd w:val="clear" w:color="auto" w:fill="D9D9D9"/>
            <w:vAlign w:val="center"/>
          </w:tcPr>
          <w:p w14:paraId="5C519CC7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rPr>
                <w:rFonts w:cs="Arial"/>
                <w:b/>
                <w:sz w:val="22"/>
                <w:szCs w:val="24"/>
                <w:lang w:val="pt-BR"/>
              </w:rPr>
            </w:pPr>
            <w:commentRangeStart w:id="19"/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Quantidade</w:t>
            </w:r>
            <w:commentRangeEnd w:id="19"/>
            <w:r w:rsidRPr="008C426A">
              <w:rPr>
                <w:rFonts w:cs="Arial"/>
                <w:sz w:val="22"/>
                <w:szCs w:val="24"/>
                <w:lang w:val="pt-BR"/>
              </w:rPr>
              <w:commentReference w:id="19"/>
            </w: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 xml:space="preserve"> 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1F860D3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commentRangeStart w:id="20"/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 xml:space="preserve">Valor unitário </w:t>
            </w:r>
            <w:commentRangeEnd w:id="20"/>
            <w:r w:rsidRPr="008C426A">
              <w:rPr>
                <w:rFonts w:cs="Arial"/>
                <w:sz w:val="22"/>
                <w:szCs w:val="24"/>
                <w:lang w:val="pt-BR"/>
              </w:rPr>
              <w:commentReference w:id="20"/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70A75305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commentRangeStart w:id="21"/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Valor total</w:t>
            </w:r>
            <w:commentRangeEnd w:id="21"/>
            <w:r w:rsidRPr="008C426A">
              <w:rPr>
                <w:rFonts w:cs="Arial"/>
                <w:sz w:val="22"/>
                <w:szCs w:val="24"/>
                <w:lang w:val="pt-BR"/>
              </w:rPr>
              <w:commentReference w:id="21"/>
            </w:r>
          </w:p>
        </w:tc>
      </w:tr>
      <w:tr w:rsidR="008C426A" w:rsidRPr="008C426A" w14:paraId="09E74544" w14:textId="77777777" w:rsidTr="008C426A">
        <w:trPr>
          <w:trHeight w:val="347"/>
        </w:trPr>
        <w:tc>
          <w:tcPr>
            <w:tcW w:w="993" w:type="dxa"/>
            <w:vMerge/>
            <w:shd w:val="clear" w:color="auto" w:fill="D9D9D9"/>
            <w:vAlign w:val="center"/>
          </w:tcPr>
          <w:p w14:paraId="5F7BDBDC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 w:right="20"/>
              <w:rPr>
                <w:rFonts w:cs="Arial"/>
                <w:b/>
                <w:sz w:val="22"/>
                <w:szCs w:val="24"/>
                <w:lang w:val="pt-BR"/>
              </w:rPr>
            </w:pPr>
          </w:p>
        </w:tc>
        <w:tc>
          <w:tcPr>
            <w:tcW w:w="2552" w:type="dxa"/>
            <w:vMerge/>
            <w:shd w:val="clear" w:color="auto" w:fill="D9D9D9"/>
            <w:vAlign w:val="center"/>
          </w:tcPr>
          <w:p w14:paraId="2DAE6722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rPr>
                <w:rFonts w:cs="Arial"/>
                <w:b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  <w:shd w:val="clear" w:color="auto" w:fill="D9D9D9"/>
            <w:vAlign w:val="center"/>
          </w:tcPr>
          <w:p w14:paraId="16B73F86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A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F0CA5B0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B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733D18A4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b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b/>
                <w:sz w:val="22"/>
                <w:szCs w:val="24"/>
                <w:lang w:val="pt-BR"/>
              </w:rPr>
              <w:t>A x B</w:t>
            </w:r>
          </w:p>
        </w:tc>
      </w:tr>
      <w:tr w:rsidR="008C426A" w:rsidRPr="008C426A" w14:paraId="7BD6A156" w14:textId="77777777" w:rsidTr="008C426A">
        <w:trPr>
          <w:trHeight w:val="347"/>
        </w:trPr>
        <w:tc>
          <w:tcPr>
            <w:tcW w:w="993" w:type="dxa"/>
            <w:vAlign w:val="center"/>
          </w:tcPr>
          <w:p w14:paraId="0858F495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01</w:t>
            </w:r>
          </w:p>
        </w:tc>
        <w:tc>
          <w:tcPr>
            <w:tcW w:w="2552" w:type="dxa"/>
            <w:vAlign w:val="center"/>
          </w:tcPr>
          <w:p w14:paraId="57ABB86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71CEB4DD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21FD73E1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1353404E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C426A" w:rsidRPr="008C426A" w14:paraId="30326A09" w14:textId="77777777" w:rsidTr="008C426A">
        <w:trPr>
          <w:trHeight w:val="348"/>
        </w:trPr>
        <w:tc>
          <w:tcPr>
            <w:tcW w:w="993" w:type="dxa"/>
            <w:vAlign w:val="center"/>
          </w:tcPr>
          <w:p w14:paraId="73F85880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02</w:t>
            </w:r>
          </w:p>
        </w:tc>
        <w:tc>
          <w:tcPr>
            <w:tcW w:w="2552" w:type="dxa"/>
            <w:vAlign w:val="center"/>
          </w:tcPr>
          <w:p w14:paraId="196814DF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48F577E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0C064219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672276BF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C426A" w:rsidRPr="008C426A" w14:paraId="7E1CD36B" w14:textId="77777777" w:rsidTr="008C426A">
        <w:trPr>
          <w:trHeight w:val="348"/>
        </w:trPr>
        <w:tc>
          <w:tcPr>
            <w:tcW w:w="993" w:type="dxa"/>
            <w:vAlign w:val="center"/>
          </w:tcPr>
          <w:p w14:paraId="191A9D49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03</w:t>
            </w:r>
          </w:p>
        </w:tc>
        <w:tc>
          <w:tcPr>
            <w:tcW w:w="2552" w:type="dxa"/>
            <w:vAlign w:val="center"/>
          </w:tcPr>
          <w:p w14:paraId="2D10ADF9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73EEE2A0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2E7904A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73B4E75D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C426A" w:rsidRPr="008C426A" w14:paraId="34CD5C51" w14:textId="77777777" w:rsidTr="008C426A">
        <w:trPr>
          <w:trHeight w:val="348"/>
        </w:trPr>
        <w:tc>
          <w:tcPr>
            <w:tcW w:w="993" w:type="dxa"/>
            <w:vAlign w:val="center"/>
          </w:tcPr>
          <w:p w14:paraId="32E79AC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04</w:t>
            </w:r>
          </w:p>
        </w:tc>
        <w:tc>
          <w:tcPr>
            <w:tcW w:w="2552" w:type="dxa"/>
            <w:vAlign w:val="center"/>
          </w:tcPr>
          <w:p w14:paraId="7A2A3F60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41CE39B7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1F88F46E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6415D65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tr w:rsidR="008C426A" w:rsidRPr="008C426A" w14:paraId="635D6D98" w14:textId="77777777" w:rsidTr="008C426A">
        <w:trPr>
          <w:trHeight w:val="348"/>
        </w:trPr>
        <w:tc>
          <w:tcPr>
            <w:tcW w:w="993" w:type="dxa"/>
            <w:vAlign w:val="center"/>
          </w:tcPr>
          <w:p w14:paraId="455B618C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ind w:left="0"/>
              <w:jc w:val="center"/>
              <w:rPr>
                <w:rFonts w:cs="Arial"/>
                <w:sz w:val="22"/>
                <w:szCs w:val="24"/>
                <w:lang w:val="pt-BR"/>
              </w:rPr>
            </w:pPr>
            <w:r w:rsidRPr="008C426A">
              <w:rPr>
                <w:rFonts w:cs="Arial"/>
                <w:sz w:val="22"/>
                <w:szCs w:val="24"/>
                <w:lang w:val="pt-BR"/>
              </w:rPr>
              <w:t>05</w:t>
            </w:r>
          </w:p>
        </w:tc>
        <w:tc>
          <w:tcPr>
            <w:tcW w:w="2552" w:type="dxa"/>
            <w:vAlign w:val="center"/>
          </w:tcPr>
          <w:p w14:paraId="5DBA14B2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558" w:type="dxa"/>
          </w:tcPr>
          <w:p w14:paraId="46B8CC87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3A8B250B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  <w:tc>
          <w:tcPr>
            <w:tcW w:w="2977" w:type="dxa"/>
            <w:vAlign w:val="center"/>
          </w:tcPr>
          <w:p w14:paraId="0718F436" w14:textId="77777777" w:rsidR="008C426A" w:rsidRPr="008C426A" w:rsidRDefault="008C426A" w:rsidP="008C426A">
            <w:pPr>
              <w:pStyle w:val="PargrafodaLista"/>
              <w:tabs>
                <w:tab w:val="left" w:pos="567"/>
                <w:tab w:val="left" w:pos="851"/>
              </w:tabs>
              <w:spacing w:after="240"/>
              <w:jc w:val="center"/>
              <w:rPr>
                <w:rFonts w:cs="Arial"/>
                <w:sz w:val="22"/>
                <w:szCs w:val="24"/>
                <w:lang w:val="pt-BR"/>
              </w:rPr>
            </w:pPr>
          </w:p>
        </w:tc>
      </w:tr>
      <w:bookmarkEnd w:id="16"/>
      <w:bookmarkEnd w:id="18"/>
    </w:tbl>
    <w:p w14:paraId="0137D750" w14:textId="77777777" w:rsidR="008C426A" w:rsidRPr="002317EE" w:rsidRDefault="008C426A" w:rsidP="00053D55">
      <w:pPr>
        <w:pStyle w:val="PargrafodaLista"/>
        <w:tabs>
          <w:tab w:val="left" w:pos="567"/>
          <w:tab w:val="left" w:pos="851"/>
        </w:tabs>
        <w:spacing w:after="240"/>
        <w:ind w:left="0" w:right="20"/>
        <w:rPr>
          <w:rFonts w:cs="Arial"/>
          <w:szCs w:val="24"/>
        </w:rPr>
      </w:pPr>
    </w:p>
    <w:p w14:paraId="1F39D23C" w14:textId="761C3CF7" w:rsidR="002317EE" w:rsidRPr="000D015F" w:rsidRDefault="00053D55" w:rsidP="00F54CA2">
      <w:pPr>
        <w:pStyle w:val="PargrafodaLista"/>
        <w:numPr>
          <w:ilvl w:val="0"/>
          <w:numId w:val="1"/>
        </w:numPr>
        <w:spacing w:after="240"/>
        <w:ind w:left="0" w:right="20" w:firstLine="0"/>
        <w:rPr>
          <w:rFonts w:cs="Arial"/>
          <w:szCs w:val="24"/>
        </w:rPr>
      </w:pPr>
      <w:r>
        <w:rPr>
          <w:rFonts w:cs="Arial"/>
          <w:b/>
          <w:szCs w:val="24"/>
          <w:lang w:val="pt-BR"/>
        </w:rPr>
        <w:t>A</w:t>
      </w:r>
      <w:r w:rsidR="002317EE" w:rsidRPr="00053D55">
        <w:rPr>
          <w:rFonts w:cs="Arial"/>
          <w:b/>
          <w:szCs w:val="24"/>
          <w:lang w:val="pt-BR"/>
        </w:rPr>
        <w:t>testo</w:t>
      </w:r>
      <w:r w:rsidR="002317EE" w:rsidRPr="000D015F">
        <w:rPr>
          <w:rFonts w:cs="Arial"/>
          <w:szCs w:val="24"/>
          <w:lang w:val="pt-BR"/>
        </w:rPr>
        <w:t xml:space="preserve"> que o caso concreto contido no bojo dos presentes autos amolda-se à hipótese analisada pelo PARECER REFERENCIAL</w:t>
      </w:r>
      <w:r w:rsidR="000D015F" w:rsidRPr="000D015F">
        <w:rPr>
          <w:rFonts w:cs="Arial"/>
          <w:szCs w:val="24"/>
          <w:lang w:val="pt-BR"/>
        </w:rPr>
        <w:t xml:space="preserve"> nº</w:t>
      </w:r>
      <w:r w:rsidR="002317EE" w:rsidRPr="000D015F">
        <w:rPr>
          <w:rFonts w:cs="Arial"/>
          <w:szCs w:val="24"/>
          <w:lang w:val="pt-BR"/>
        </w:rPr>
        <w:t xml:space="preserve"> </w:t>
      </w:r>
      <w:r w:rsidR="000D015F" w:rsidRPr="000D015F">
        <w:rPr>
          <w:rFonts w:cs="Arial"/>
          <w:szCs w:val="24"/>
        </w:rPr>
        <w:t>000</w:t>
      </w:r>
      <w:r w:rsidR="00FE1139">
        <w:rPr>
          <w:rFonts w:cs="Arial"/>
          <w:szCs w:val="24"/>
        </w:rPr>
        <w:t>1</w:t>
      </w:r>
      <w:r w:rsidR="000D015F" w:rsidRPr="000D015F">
        <w:rPr>
          <w:rFonts w:cs="Arial"/>
          <w:szCs w:val="24"/>
        </w:rPr>
        <w:t xml:space="preserve">/2025/PF-UFSJ/PFUFSJ/PGF/AGU </w:t>
      </w:r>
      <w:r w:rsidR="002317EE" w:rsidRPr="000D015F">
        <w:rPr>
          <w:rFonts w:cs="Arial"/>
          <w:szCs w:val="24"/>
          <w:lang w:val="pt-BR"/>
        </w:rPr>
        <w:t>cujas recomendações foram integralmente atendidas</w:t>
      </w:r>
      <w:r>
        <w:rPr>
          <w:rFonts w:cs="Arial"/>
          <w:szCs w:val="24"/>
          <w:lang w:val="pt-BR"/>
        </w:rPr>
        <w:t xml:space="preserve">, </w:t>
      </w:r>
      <w:r w:rsidRPr="00053D55">
        <w:rPr>
          <w:rFonts w:cs="Arial"/>
          <w:szCs w:val="24"/>
          <w:u w:val="single"/>
          <w:lang w:val="pt-BR"/>
        </w:rPr>
        <w:t>no que compete à gestão e fiscalização do contrato</w:t>
      </w:r>
      <w:r w:rsidR="002317EE" w:rsidRPr="000D015F">
        <w:rPr>
          <w:rFonts w:cs="Arial"/>
          <w:szCs w:val="24"/>
          <w:lang w:val="pt-BR"/>
        </w:rPr>
        <w:t>. Fica, assim, dispensada a remessa dos autos para exame individualizado pela Procuradoria Federal Especializada junto à Universidade Federal de São João del Rei, nos termos</w:t>
      </w:r>
      <w:r w:rsidR="000D015F" w:rsidRPr="000D015F">
        <w:rPr>
          <w:rFonts w:cs="Arial"/>
          <w:szCs w:val="24"/>
          <w:lang w:val="pt-BR"/>
        </w:rPr>
        <w:t xml:space="preserve"> </w:t>
      </w:r>
      <w:r w:rsidR="002317EE" w:rsidRPr="000D015F">
        <w:rPr>
          <w:rFonts w:cs="Arial"/>
          <w:szCs w:val="24"/>
          <w:lang w:val="pt-BR"/>
        </w:rPr>
        <w:t>da Portaria PGF/AGU nº 262, de 05/05/2017 e Orientação Normativa nº 55, da Advocacia Geral da União</w:t>
      </w:r>
      <w:r w:rsidR="000D015F">
        <w:rPr>
          <w:rFonts w:cs="Arial"/>
          <w:szCs w:val="24"/>
          <w:lang w:val="pt-BR"/>
        </w:rPr>
        <w:t>.</w:t>
      </w:r>
    </w:p>
    <w:p w14:paraId="2E08D011" w14:textId="77777777" w:rsidR="0026169B" w:rsidRPr="003E7608" w:rsidRDefault="0026169B" w:rsidP="0026169B">
      <w:pPr>
        <w:pStyle w:val="PargrafodaLista"/>
        <w:tabs>
          <w:tab w:val="left" w:pos="851"/>
        </w:tabs>
        <w:spacing w:after="240"/>
        <w:ind w:left="426" w:right="20"/>
        <w:rPr>
          <w:rFonts w:cs="Arial"/>
          <w:szCs w:val="24"/>
        </w:rPr>
      </w:pPr>
    </w:p>
    <w:p w14:paraId="6594429E" w14:textId="77777777" w:rsidR="00EB6CEF" w:rsidRPr="003C1BEA" w:rsidRDefault="00EB6CEF" w:rsidP="00EB6CEF">
      <w:pPr>
        <w:tabs>
          <w:tab w:val="left" w:pos="2521"/>
          <w:tab w:val="left" w:pos="3176"/>
          <w:tab w:val="left" w:pos="5082"/>
          <w:tab w:val="left" w:pos="6573"/>
        </w:tabs>
        <w:spacing w:before="137"/>
        <w:ind w:left="426" w:right="20"/>
        <w:jc w:val="right"/>
        <w:rPr>
          <w:rFonts w:cs="Arial"/>
          <w:color w:val="000009"/>
          <w:szCs w:val="24"/>
        </w:rPr>
      </w:pPr>
      <w:r w:rsidRPr="003C1BEA">
        <w:rPr>
          <w:rFonts w:cs="Arial"/>
          <w:color w:val="000009"/>
          <w:szCs w:val="24"/>
        </w:rPr>
        <w:t>,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>de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>de</w:t>
      </w:r>
      <w:r w:rsidRPr="003C1BEA">
        <w:rPr>
          <w:rFonts w:cs="Arial"/>
          <w:color w:val="000009"/>
          <w:szCs w:val="24"/>
          <w:u w:val="single"/>
        </w:rPr>
        <w:tab/>
      </w:r>
      <w:r w:rsidRPr="003C1BEA">
        <w:rPr>
          <w:rFonts w:cs="Arial"/>
          <w:color w:val="000009"/>
          <w:szCs w:val="24"/>
        </w:rPr>
        <w:t>.</w:t>
      </w:r>
    </w:p>
    <w:p w14:paraId="57BA9081" w14:textId="77777777" w:rsidR="00EB6CEF" w:rsidRDefault="00EB6CEF" w:rsidP="00EB6CEF">
      <w:pPr>
        <w:spacing w:before="134"/>
        <w:ind w:left="426" w:right="20"/>
        <w:jc w:val="center"/>
        <w:rPr>
          <w:rFonts w:cs="Arial"/>
          <w:color w:val="0000FF"/>
          <w:szCs w:val="24"/>
        </w:rPr>
      </w:pPr>
    </w:p>
    <w:p w14:paraId="2B4680CD" w14:textId="77777777" w:rsidR="00EB6CEF" w:rsidRPr="003C1BEA" w:rsidRDefault="00EB6CEF" w:rsidP="0026169B">
      <w:pPr>
        <w:spacing w:before="134" w:line="240" w:lineRule="auto"/>
        <w:ind w:left="426" w:right="20"/>
        <w:jc w:val="center"/>
        <w:rPr>
          <w:rFonts w:cs="Arial"/>
          <w:color w:val="0000FF"/>
          <w:szCs w:val="24"/>
        </w:rPr>
      </w:pPr>
      <w:r w:rsidRPr="003C1BEA">
        <w:rPr>
          <w:rFonts w:cs="Arial"/>
          <w:color w:val="0000FF"/>
          <w:szCs w:val="24"/>
        </w:rPr>
        <w:t>[nome do gestor]</w:t>
      </w:r>
    </w:p>
    <w:p w14:paraId="4AC80D71" w14:textId="77777777" w:rsidR="00EB6CEF" w:rsidRPr="003C1BEA" w:rsidRDefault="00EB6CEF" w:rsidP="0026169B">
      <w:pPr>
        <w:spacing w:before="134" w:line="240" w:lineRule="auto"/>
        <w:ind w:left="426" w:right="20"/>
        <w:jc w:val="center"/>
        <w:rPr>
          <w:rFonts w:cs="Arial"/>
          <w:color w:val="0000FF"/>
          <w:szCs w:val="24"/>
        </w:rPr>
      </w:pPr>
      <w:r w:rsidRPr="003C1BEA">
        <w:rPr>
          <w:rFonts w:cs="Arial"/>
          <w:szCs w:val="24"/>
        </w:rPr>
        <w:t>Gestor do Contrato n°</w:t>
      </w:r>
      <w:r w:rsidRPr="003C1BEA">
        <w:rPr>
          <w:rFonts w:cs="Arial"/>
          <w:color w:val="0000FF"/>
          <w:szCs w:val="24"/>
        </w:rPr>
        <w:t xml:space="preserve"> </w:t>
      </w:r>
      <w:r w:rsidRPr="00431756">
        <w:rPr>
          <w:rFonts w:cs="Arial"/>
          <w:color w:val="FF0000"/>
          <w:szCs w:val="24"/>
        </w:rPr>
        <w:t>xxxx</w:t>
      </w:r>
    </w:p>
    <w:p w14:paraId="77B88123" w14:textId="78AAB91C" w:rsidR="00EB6CEF" w:rsidRDefault="00EB6CEF" w:rsidP="0026169B">
      <w:pPr>
        <w:spacing w:before="134" w:line="240" w:lineRule="auto"/>
        <w:ind w:left="426" w:right="20"/>
        <w:jc w:val="center"/>
        <w:rPr>
          <w:rFonts w:cs="Arial"/>
          <w:color w:val="0000FF"/>
          <w:szCs w:val="24"/>
        </w:rPr>
      </w:pPr>
      <w:r w:rsidRPr="003C1BEA">
        <w:rPr>
          <w:rFonts w:cs="Arial"/>
          <w:szCs w:val="24"/>
        </w:rPr>
        <w:t>Portaria nº</w:t>
      </w:r>
      <w:r w:rsidRPr="003C1BEA">
        <w:rPr>
          <w:rFonts w:cs="Arial"/>
          <w:color w:val="0000FF"/>
          <w:szCs w:val="24"/>
        </w:rPr>
        <w:t xml:space="preserve"> </w:t>
      </w:r>
      <w:r w:rsidRPr="00431756">
        <w:rPr>
          <w:rFonts w:cs="Arial"/>
          <w:color w:val="FF0000"/>
          <w:szCs w:val="24"/>
        </w:rPr>
        <w:t>xxx/20xx</w:t>
      </w:r>
    </w:p>
    <w:sectPr w:rsidR="00EB6CEF" w:rsidSect="00221C11">
      <w:headerReference w:type="even" r:id="rId11"/>
      <w:headerReference w:type="default" r:id="rId12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UFSJ" w:date="2025-05-23T07:41:00Z" w:initials="U">
    <w:p w14:paraId="02200A08" w14:textId="218D8A79" w:rsidR="00DF390C" w:rsidRDefault="00DF390C" w:rsidP="00DF390C">
      <w:pPr>
        <w:pStyle w:val="Textodecomentrio"/>
        <w:numPr>
          <w:ilvl w:val="0"/>
          <w:numId w:val="8"/>
        </w:numPr>
      </w:pPr>
      <w:r>
        <w:rPr>
          <w:rStyle w:val="Refdecomentrio"/>
        </w:rPr>
        <w:annotationRef/>
      </w:r>
      <w:r>
        <w:t xml:space="preserve"> </w:t>
      </w:r>
      <w:r w:rsidR="002C669C">
        <w:t xml:space="preserve">Este modelo de relatório é destinado exclusivamente para a formalização de </w:t>
      </w:r>
      <w:r w:rsidR="00FD6FFB">
        <w:t>pe</w:t>
      </w:r>
      <w:r w:rsidR="002C669C">
        <w:t xml:space="preserve">didos de prorrogações contratuais, visando atender </w:t>
      </w:r>
      <w:r>
        <w:t xml:space="preserve"> os requisitos exigidos no parecer referencial nº </w:t>
      </w:r>
      <w:r>
        <w:rPr>
          <w:rFonts w:cs="Arial"/>
          <w:szCs w:val="24"/>
        </w:rPr>
        <w:t>0</w:t>
      </w:r>
      <w:r w:rsidR="00FD6FFB">
        <w:rPr>
          <w:rFonts w:cs="Arial"/>
          <w:szCs w:val="24"/>
        </w:rPr>
        <w:t>1</w:t>
      </w:r>
      <w:r>
        <w:rPr>
          <w:rFonts w:cs="Arial"/>
          <w:szCs w:val="24"/>
        </w:rPr>
        <w:t>/2025/PF-UFSJ/PFUFSJ/PGF/AGU</w:t>
      </w:r>
      <w:r w:rsidR="00FA128D">
        <w:rPr>
          <w:rFonts w:cs="Arial"/>
          <w:szCs w:val="24"/>
        </w:rPr>
        <w:t>,</w:t>
      </w:r>
      <w:r>
        <w:t xml:space="preserve"> no que compete a análise</w:t>
      </w:r>
      <w:r w:rsidR="00FA128D">
        <w:t xml:space="preserve"> a ser realizada pelo</w:t>
      </w:r>
      <w:r>
        <w:t xml:space="preserve"> gestor e fiscal de contrato</w:t>
      </w:r>
      <w:r w:rsidR="00FD6FFB">
        <w:t>.</w:t>
      </w:r>
    </w:p>
    <w:p w14:paraId="529D2496" w14:textId="77777777" w:rsidR="00FD6FFB" w:rsidRDefault="00FD6FFB" w:rsidP="00FD6FFB">
      <w:pPr>
        <w:pStyle w:val="Textodecomentrio"/>
      </w:pPr>
    </w:p>
    <w:p w14:paraId="2047F427" w14:textId="70526F5E" w:rsidR="00FD6FFB" w:rsidRDefault="00FD6FFB" w:rsidP="00DF390C">
      <w:pPr>
        <w:pStyle w:val="Textodecomentrio"/>
        <w:numPr>
          <w:ilvl w:val="0"/>
          <w:numId w:val="8"/>
        </w:numPr>
      </w:pPr>
      <w:r>
        <w:t xml:space="preserve"> </w:t>
      </w:r>
      <w:bookmarkStart w:id="2" w:name="_Hlk198899644"/>
      <w:r>
        <w:t>A lista de verificação da AGU, disponibilizada no anexo 62 do manual de fiscalização da UFSJ, deve acompanhar este relatório.</w:t>
      </w:r>
      <w:bookmarkEnd w:id="2"/>
    </w:p>
    <w:p w14:paraId="222D88FC" w14:textId="77777777" w:rsidR="00DF390C" w:rsidRDefault="00DF390C" w:rsidP="00DF390C">
      <w:pPr>
        <w:pStyle w:val="Textodecomentrio"/>
      </w:pPr>
    </w:p>
    <w:p w14:paraId="669661F2" w14:textId="31F2F041" w:rsidR="00DF390C" w:rsidRPr="002D08DA" w:rsidRDefault="00DF390C" w:rsidP="001E2621">
      <w:pPr>
        <w:pStyle w:val="Textodecomentrio"/>
        <w:numPr>
          <w:ilvl w:val="0"/>
          <w:numId w:val="8"/>
        </w:numPr>
        <w:rPr>
          <w:rStyle w:val="Refdecomentrio"/>
          <w:sz w:val="20"/>
          <w:szCs w:val="20"/>
        </w:rPr>
      </w:pPr>
      <w:r>
        <w:rPr>
          <w:rStyle w:val="Refdecomentrio"/>
        </w:rPr>
        <w:t xml:space="preserve"> A redação em preto consiste no que se espera ser invariável para atendimento ao referido parecer referencial para serviços COM dedicação exclusiva de mão de obra. </w:t>
      </w:r>
    </w:p>
    <w:p w14:paraId="6CCE7FCA" w14:textId="77777777" w:rsidR="002D08DA" w:rsidRDefault="002D08DA" w:rsidP="002D08DA">
      <w:pPr>
        <w:pStyle w:val="PargrafodaLista"/>
        <w:rPr>
          <w:rStyle w:val="Refdecomentrio"/>
          <w:sz w:val="20"/>
          <w:szCs w:val="20"/>
        </w:rPr>
      </w:pPr>
    </w:p>
    <w:p w14:paraId="4FF7B458" w14:textId="77777777" w:rsidR="002D08DA" w:rsidRPr="002D08DA" w:rsidRDefault="002D08DA" w:rsidP="002D08DA">
      <w:pPr>
        <w:pStyle w:val="Textodecomentrio"/>
        <w:rPr>
          <w:rStyle w:val="Refdecomentrio"/>
          <w:sz w:val="20"/>
          <w:szCs w:val="20"/>
        </w:rPr>
      </w:pPr>
    </w:p>
    <w:p w14:paraId="3A17CC18" w14:textId="77777777" w:rsidR="00DF390C" w:rsidRPr="002A24A2" w:rsidRDefault="00DF390C" w:rsidP="00DF390C">
      <w:pPr>
        <w:pStyle w:val="Textodecomentrio"/>
        <w:numPr>
          <w:ilvl w:val="0"/>
          <w:numId w:val="8"/>
        </w:numPr>
      </w:pPr>
      <w:r>
        <w:t xml:space="preserve"> </w:t>
      </w:r>
      <w:r w:rsidRPr="002A24A2">
        <w:rPr>
          <w:color w:val="FF0000"/>
        </w:rPr>
        <w:t>Os itens destacados em vermelho devem ser preenchidos, adotados ou excluídos de acordo com as peculiaridades da contratação</w:t>
      </w:r>
    </w:p>
    <w:p w14:paraId="3DFD753C" w14:textId="77777777" w:rsidR="00DF390C" w:rsidRPr="002A24A2" w:rsidRDefault="00DF390C" w:rsidP="00DF390C">
      <w:pPr>
        <w:pStyle w:val="Textodecomentrio"/>
      </w:pPr>
    </w:p>
    <w:p w14:paraId="521A9F0F" w14:textId="6767492C" w:rsidR="00DF390C" w:rsidRDefault="00DF390C" w:rsidP="00DF390C">
      <w:pPr>
        <w:pStyle w:val="Textodecomentrio"/>
        <w:numPr>
          <w:ilvl w:val="0"/>
          <w:numId w:val="8"/>
        </w:numPr>
      </w:pPr>
      <w:r>
        <w:rPr>
          <w:color w:val="0000FF"/>
        </w:rPr>
        <w:t xml:space="preserve"> </w:t>
      </w:r>
      <w:r w:rsidRPr="002A24A2">
        <w:rPr>
          <w:color w:val="0000FF"/>
        </w:rPr>
        <w:t>Os itens destacados em azul correspondem a notas explicativas visando orientar o preenchimento e devem ser suprimidos ao se finalizar o documento na versão original</w:t>
      </w:r>
    </w:p>
  </w:comment>
  <w:comment w:id="17" w:author="UFSJ" w:date="2025-08-05T09:39:00Z" w:initials="U">
    <w:p w14:paraId="01BDD5EA" w14:textId="782DFB39" w:rsidR="008C426A" w:rsidRDefault="008C426A" w:rsidP="008C426A">
      <w:pPr>
        <w:pStyle w:val="Textodecomentrio"/>
      </w:pPr>
      <w:r>
        <w:rPr>
          <w:rStyle w:val="Refdecomentrio"/>
        </w:rPr>
        <w:annotationRef/>
      </w:r>
      <w:r>
        <w:t xml:space="preserve">O valor a ser informado corresponde </w:t>
      </w:r>
      <w:r>
        <w:t>ao valor mensal x 12</w:t>
      </w:r>
    </w:p>
  </w:comment>
  <w:comment w:id="19" w:author="UFSJ" w:date="2025-08-05T09:31:00Z" w:initials="U">
    <w:p w14:paraId="6AC43418" w14:textId="77777777" w:rsidR="008C426A" w:rsidRPr="00135068" w:rsidRDefault="008C426A" w:rsidP="008C426A">
      <w:pPr>
        <w:pStyle w:val="Textodecomentrio"/>
        <w:rPr>
          <w:b/>
        </w:rPr>
      </w:pPr>
      <w:r>
        <w:rPr>
          <w:rStyle w:val="Refdecomentrio"/>
        </w:rPr>
        <w:annotationRef/>
      </w:r>
      <w:r>
        <w:rPr>
          <w:b/>
        </w:rPr>
        <w:t>QUANTIDADE</w:t>
      </w:r>
    </w:p>
    <w:p w14:paraId="040F5E82" w14:textId="77777777" w:rsidR="008C426A" w:rsidRDefault="008C426A" w:rsidP="008C426A">
      <w:pPr>
        <w:pStyle w:val="Textodecomentrio"/>
      </w:pPr>
      <w:r>
        <w:t>Quantidade de postos conforme a contratação</w:t>
      </w:r>
    </w:p>
  </w:comment>
  <w:comment w:id="20" w:author="UFSJ" w:date="2025-08-05T09:32:00Z" w:initials="U">
    <w:p w14:paraId="5CA946EA" w14:textId="77777777" w:rsidR="008C426A" w:rsidRPr="00AD7CF9" w:rsidRDefault="008C426A" w:rsidP="008C426A">
      <w:pPr>
        <w:pStyle w:val="Textodecomentrio"/>
        <w:rPr>
          <w:b/>
        </w:rPr>
      </w:pPr>
      <w:r>
        <w:rPr>
          <w:rStyle w:val="Refdecomentrio"/>
        </w:rPr>
        <w:annotationRef/>
      </w:r>
      <w:r w:rsidRPr="00AD7CF9">
        <w:rPr>
          <w:b/>
        </w:rPr>
        <w:t>VALOR UNITÁRIO</w:t>
      </w:r>
    </w:p>
    <w:p w14:paraId="0E00D653" w14:textId="726601CE" w:rsidR="008C426A" w:rsidRDefault="00FE1139" w:rsidP="008C426A">
      <w:pPr>
        <w:pStyle w:val="Textodecomentrio"/>
      </w:pPr>
      <w:r>
        <w:t>Para os contratos antigos em que não consta a coluna “valor unitário” nas planilhas de custos, o valor unitário corresponde ao valor do posto x 12</w:t>
      </w:r>
    </w:p>
  </w:comment>
  <w:comment w:id="21" w:author="UFSJ" w:date="2025-08-05T09:34:00Z" w:initials="U">
    <w:p w14:paraId="512ADDCE" w14:textId="77777777" w:rsidR="008C426A" w:rsidRPr="00135068" w:rsidRDefault="008C426A" w:rsidP="008C426A">
      <w:pPr>
        <w:pStyle w:val="Textodecomentrio"/>
        <w:rPr>
          <w:b/>
        </w:rPr>
      </w:pPr>
      <w:r>
        <w:rPr>
          <w:rStyle w:val="Refdecomentrio"/>
        </w:rPr>
        <w:annotationRef/>
      </w:r>
      <w:r w:rsidRPr="00135068">
        <w:rPr>
          <w:b/>
        </w:rPr>
        <w:t>VALOR TOTAL</w:t>
      </w:r>
    </w:p>
    <w:p w14:paraId="748C15C1" w14:textId="77777777" w:rsidR="008C426A" w:rsidRDefault="008C426A" w:rsidP="008C426A">
      <w:pPr>
        <w:pStyle w:val="Textodecomentrio"/>
      </w:pPr>
      <w:r>
        <w:t>Valor unitário x quantidade de postos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21A9F0F" w15:done="0"/>
  <w15:commentEx w15:paraId="01BDD5EA" w15:done="0"/>
  <w15:commentEx w15:paraId="040F5E82" w15:done="0"/>
  <w15:commentEx w15:paraId="0E00D653" w15:done="0"/>
  <w15:commentEx w15:paraId="748C15C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21A9F0F" w16cid:durableId="2BDAA535"/>
  <w16cid:commentId w16cid:paraId="01BDD5EA" w16cid:durableId="2C3C4FDD"/>
  <w16cid:commentId w16cid:paraId="040F5E82" w16cid:durableId="2C3C4DFA"/>
  <w16cid:commentId w16cid:paraId="0E00D653" w16cid:durableId="2C3C4E26"/>
  <w16cid:commentId w16cid:paraId="748C15C1" w16cid:durableId="2C3C4E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C2EE0" w14:textId="77777777" w:rsidR="00E4116D" w:rsidRDefault="00E4116D">
      <w:r>
        <w:separator/>
      </w:r>
    </w:p>
  </w:endnote>
  <w:endnote w:type="continuationSeparator" w:id="0">
    <w:p w14:paraId="4429BBC9" w14:textId="77777777" w:rsidR="00E4116D" w:rsidRDefault="00E4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99665" w14:textId="77777777" w:rsidR="00E4116D" w:rsidRDefault="00E4116D">
      <w:r>
        <w:separator/>
      </w:r>
    </w:p>
  </w:footnote>
  <w:footnote w:type="continuationSeparator" w:id="0">
    <w:p w14:paraId="738A918C" w14:textId="77777777" w:rsidR="00E4116D" w:rsidRDefault="00E41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4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2340B8" w:rsidRDefault="002340B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4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" w15:restartNumberingAfterBreak="0">
    <w:nsid w:val="2A9851C5"/>
    <w:multiLevelType w:val="hybridMultilevel"/>
    <w:tmpl w:val="819236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A5C43"/>
    <w:multiLevelType w:val="hybridMultilevel"/>
    <w:tmpl w:val="7BC014F8"/>
    <w:lvl w:ilvl="0" w:tplc="046E52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91BBC"/>
    <w:multiLevelType w:val="hybridMultilevel"/>
    <w:tmpl w:val="BC0CA8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704132DC"/>
    <w:multiLevelType w:val="multilevel"/>
    <w:tmpl w:val="AA54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2F2936"/>
    <w:multiLevelType w:val="hybridMultilevel"/>
    <w:tmpl w:val="574EA6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7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FSJ">
    <w15:presenceInfo w15:providerId="None" w15:userId="UFS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486C"/>
    <w:rsid w:val="000157E1"/>
    <w:rsid w:val="00016C3F"/>
    <w:rsid w:val="00020605"/>
    <w:rsid w:val="00023D16"/>
    <w:rsid w:val="00025B1A"/>
    <w:rsid w:val="000260B4"/>
    <w:rsid w:val="00027AB4"/>
    <w:rsid w:val="00031DDD"/>
    <w:rsid w:val="000321D6"/>
    <w:rsid w:val="00032B8B"/>
    <w:rsid w:val="00041404"/>
    <w:rsid w:val="000436E0"/>
    <w:rsid w:val="00044A82"/>
    <w:rsid w:val="000468D0"/>
    <w:rsid w:val="00050856"/>
    <w:rsid w:val="00053D55"/>
    <w:rsid w:val="00057208"/>
    <w:rsid w:val="0005757E"/>
    <w:rsid w:val="0006790C"/>
    <w:rsid w:val="00081631"/>
    <w:rsid w:val="00090281"/>
    <w:rsid w:val="00097000"/>
    <w:rsid w:val="000A3A4D"/>
    <w:rsid w:val="000A7B31"/>
    <w:rsid w:val="000C0D77"/>
    <w:rsid w:val="000D015F"/>
    <w:rsid w:val="000E2C16"/>
    <w:rsid w:val="000F136B"/>
    <w:rsid w:val="000F173E"/>
    <w:rsid w:val="0011305C"/>
    <w:rsid w:val="00116CAA"/>
    <w:rsid w:val="001179E7"/>
    <w:rsid w:val="00124D56"/>
    <w:rsid w:val="00125717"/>
    <w:rsid w:val="0012592A"/>
    <w:rsid w:val="00130ECB"/>
    <w:rsid w:val="001344CC"/>
    <w:rsid w:val="001478C9"/>
    <w:rsid w:val="00156BBD"/>
    <w:rsid w:val="00162768"/>
    <w:rsid w:val="00163EFE"/>
    <w:rsid w:val="00172BE8"/>
    <w:rsid w:val="001750F6"/>
    <w:rsid w:val="00180010"/>
    <w:rsid w:val="00180D8C"/>
    <w:rsid w:val="00184F76"/>
    <w:rsid w:val="0018531C"/>
    <w:rsid w:val="001936FD"/>
    <w:rsid w:val="00195843"/>
    <w:rsid w:val="001A11D0"/>
    <w:rsid w:val="001A28AD"/>
    <w:rsid w:val="001A30D5"/>
    <w:rsid w:val="001A6A76"/>
    <w:rsid w:val="001B0139"/>
    <w:rsid w:val="001B49F5"/>
    <w:rsid w:val="001B595B"/>
    <w:rsid w:val="001C48EC"/>
    <w:rsid w:val="001C5104"/>
    <w:rsid w:val="001C687A"/>
    <w:rsid w:val="001D4D01"/>
    <w:rsid w:val="001D6DCF"/>
    <w:rsid w:val="001D7E7F"/>
    <w:rsid w:val="001E6117"/>
    <w:rsid w:val="0020129A"/>
    <w:rsid w:val="002104F1"/>
    <w:rsid w:val="002127F7"/>
    <w:rsid w:val="00213358"/>
    <w:rsid w:val="00221393"/>
    <w:rsid w:val="00221C11"/>
    <w:rsid w:val="002238C5"/>
    <w:rsid w:val="00225249"/>
    <w:rsid w:val="00226825"/>
    <w:rsid w:val="00226A9F"/>
    <w:rsid w:val="00227F17"/>
    <w:rsid w:val="00230726"/>
    <w:rsid w:val="002317EE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1D5"/>
    <w:rsid w:val="00281B0F"/>
    <w:rsid w:val="002A24A2"/>
    <w:rsid w:val="002A48AA"/>
    <w:rsid w:val="002A5671"/>
    <w:rsid w:val="002A70B0"/>
    <w:rsid w:val="002B126D"/>
    <w:rsid w:val="002C09B0"/>
    <w:rsid w:val="002C431B"/>
    <w:rsid w:val="002C5C43"/>
    <w:rsid w:val="002C669C"/>
    <w:rsid w:val="002D08DA"/>
    <w:rsid w:val="002E70DE"/>
    <w:rsid w:val="002F162F"/>
    <w:rsid w:val="00301493"/>
    <w:rsid w:val="0030213B"/>
    <w:rsid w:val="0030362F"/>
    <w:rsid w:val="00312EDC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2F10"/>
    <w:rsid w:val="003938E3"/>
    <w:rsid w:val="0039493B"/>
    <w:rsid w:val="00397142"/>
    <w:rsid w:val="003A2402"/>
    <w:rsid w:val="003A5D0F"/>
    <w:rsid w:val="003C1D00"/>
    <w:rsid w:val="003D4DD7"/>
    <w:rsid w:val="003D6DAE"/>
    <w:rsid w:val="003E2B25"/>
    <w:rsid w:val="003E7734"/>
    <w:rsid w:val="003F0BC7"/>
    <w:rsid w:val="003F3E9B"/>
    <w:rsid w:val="003F44CC"/>
    <w:rsid w:val="003F4BE8"/>
    <w:rsid w:val="003F6387"/>
    <w:rsid w:val="00401E5D"/>
    <w:rsid w:val="0040692A"/>
    <w:rsid w:val="004127AC"/>
    <w:rsid w:val="00416C7F"/>
    <w:rsid w:val="00423039"/>
    <w:rsid w:val="004245D8"/>
    <w:rsid w:val="00427CE5"/>
    <w:rsid w:val="00431490"/>
    <w:rsid w:val="00431756"/>
    <w:rsid w:val="004372B5"/>
    <w:rsid w:val="00453FA7"/>
    <w:rsid w:val="00456775"/>
    <w:rsid w:val="00463452"/>
    <w:rsid w:val="004640F2"/>
    <w:rsid w:val="00473A1A"/>
    <w:rsid w:val="00475B80"/>
    <w:rsid w:val="00480A6F"/>
    <w:rsid w:val="004858C3"/>
    <w:rsid w:val="00487A0E"/>
    <w:rsid w:val="00492F6E"/>
    <w:rsid w:val="004A0693"/>
    <w:rsid w:val="004A5F7E"/>
    <w:rsid w:val="004B062B"/>
    <w:rsid w:val="004B39FD"/>
    <w:rsid w:val="004D3801"/>
    <w:rsid w:val="004D4041"/>
    <w:rsid w:val="004E2063"/>
    <w:rsid w:val="004E4B94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1D0"/>
    <w:rsid w:val="00570844"/>
    <w:rsid w:val="005731A8"/>
    <w:rsid w:val="00574489"/>
    <w:rsid w:val="005848AB"/>
    <w:rsid w:val="00590CEA"/>
    <w:rsid w:val="005911A3"/>
    <w:rsid w:val="005949DB"/>
    <w:rsid w:val="00597A94"/>
    <w:rsid w:val="005A3F05"/>
    <w:rsid w:val="005A71AF"/>
    <w:rsid w:val="005B3D2D"/>
    <w:rsid w:val="005C2106"/>
    <w:rsid w:val="005C50C8"/>
    <w:rsid w:val="005C6B90"/>
    <w:rsid w:val="005E30D7"/>
    <w:rsid w:val="005E50A3"/>
    <w:rsid w:val="006013AC"/>
    <w:rsid w:val="006017F6"/>
    <w:rsid w:val="00614270"/>
    <w:rsid w:val="00616583"/>
    <w:rsid w:val="00623437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67E85"/>
    <w:rsid w:val="00671621"/>
    <w:rsid w:val="006807AF"/>
    <w:rsid w:val="006909C7"/>
    <w:rsid w:val="0069149C"/>
    <w:rsid w:val="006959CB"/>
    <w:rsid w:val="006A35E8"/>
    <w:rsid w:val="006C3930"/>
    <w:rsid w:val="006E23CD"/>
    <w:rsid w:val="006F3F29"/>
    <w:rsid w:val="006F4ED8"/>
    <w:rsid w:val="00700B27"/>
    <w:rsid w:val="00707E04"/>
    <w:rsid w:val="00711877"/>
    <w:rsid w:val="00713AA6"/>
    <w:rsid w:val="0071539C"/>
    <w:rsid w:val="00715C5C"/>
    <w:rsid w:val="007211B5"/>
    <w:rsid w:val="00722194"/>
    <w:rsid w:val="007224E3"/>
    <w:rsid w:val="007236D4"/>
    <w:rsid w:val="0073354B"/>
    <w:rsid w:val="0075413E"/>
    <w:rsid w:val="00754780"/>
    <w:rsid w:val="00755E01"/>
    <w:rsid w:val="00766782"/>
    <w:rsid w:val="0077367A"/>
    <w:rsid w:val="00773B4A"/>
    <w:rsid w:val="007751D6"/>
    <w:rsid w:val="0078788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E5F"/>
    <w:rsid w:val="008400E3"/>
    <w:rsid w:val="00856869"/>
    <w:rsid w:val="008602FF"/>
    <w:rsid w:val="00861B9B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21C2"/>
    <w:rsid w:val="008B7025"/>
    <w:rsid w:val="008C2B19"/>
    <w:rsid w:val="008C3D34"/>
    <w:rsid w:val="008C426A"/>
    <w:rsid w:val="008D03E9"/>
    <w:rsid w:val="008D1666"/>
    <w:rsid w:val="008E168E"/>
    <w:rsid w:val="008E2289"/>
    <w:rsid w:val="008F4D19"/>
    <w:rsid w:val="008F7BCE"/>
    <w:rsid w:val="00907AF2"/>
    <w:rsid w:val="00911009"/>
    <w:rsid w:val="0091291F"/>
    <w:rsid w:val="00912E25"/>
    <w:rsid w:val="00916F9A"/>
    <w:rsid w:val="009173E7"/>
    <w:rsid w:val="009178CE"/>
    <w:rsid w:val="00932601"/>
    <w:rsid w:val="00933708"/>
    <w:rsid w:val="0093777C"/>
    <w:rsid w:val="009379B2"/>
    <w:rsid w:val="009451B1"/>
    <w:rsid w:val="00945546"/>
    <w:rsid w:val="00945562"/>
    <w:rsid w:val="00946FBA"/>
    <w:rsid w:val="00961CA4"/>
    <w:rsid w:val="00962199"/>
    <w:rsid w:val="009718DA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2C04"/>
    <w:rsid w:val="009B3A83"/>
    <w:rsid w:val="009C1802"/>
    <w:rsid w:val="009C3145"/>
    <w:rsid w:val="009D306A"/>
    <w:rsid w:val="009D32C5"/>
    <w:rsid w:val="009D4955"/>
    <w:rsid w:val="009D77DA"/>
    <w:rsid w:val="009E0D85"/>
    <w:rsid w:val="009F0FAC"/>
    <w:rsid w:val="009F1147"/>
    <w:rsid w:val="00A0166A"/>
    <w:rsid w:val="00A05C1F"/>
    <w:rsid w:val="00A177B1"/>
    <w:rsid w:val="00A22888"/>
    <w:rsid w:val="00A24102"/>
    <w:rsid w:val="00A2418B"/>
    <w:rsid w:val="00A4028D"/>
    <w:rsid w:val="00A44F8A"/>
    <w:rsid w:val="00A60FC8"/>
    <w:rsid w:val="00A67E6C"/>
    <w:rsid w:val="00A702E8"/>
    <w:rsid w:val="00A76339"/>
    <w:rsid w:val="00A824A5"/>
    <w:rsid w:val="00A840ED"/>
    <w:rsid w:val="00A85351"/>
    <w:rsid w:val="00A87E11"/>
    <w:rsid w:val="00A90974"/>
    <w:rsid w:val="00A97163"/>
    <w:rsid w:val="00AA32F2"/>
    <w:rsid w:val="00AA5455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E4D4C"/>
    <w:rsid w:val="00B035A9"/>
    <w:rsid w:val="00B05452"/>
    <w:rsid w:val="00B05DF1"/>
    <w:rsid w:val="00B0698E"/>
    <w:rsid w:val="00B1362A"/>
    <w:rsid w:val="00B34793"/>
    <w:rsid w:val="00B36FA6"/>
    <w:rsid w:val="00B43CBD"/>
    <w:rsid w:val="00B647D6"/>
    <w:rsid w:val="00B67396"/>
    <w:rsid w:val="00B73C45"/>
    <w:rsid w:val="00B972C5"/>
    <w:rsid w:val="00BA0862"/>
    <w:rsid w:val="00BA3613"/>
    <w:rsid w:val="00BA4AE8"/>
    <w:rsid w:val="00BB5286"/>
    <w:rsid w:val="00BC402B"/>
    <w:rsid w:val="00BD0457"/>
    <w:rsid w:val="00BD1EAB"/>
    <w:rsid w:val="00BD2371"/>
    <w:rsid w:val="00BD5892"/>
    <w:rsid w:val="00BE12FE"/>
    <w:rsid w:val="00BF2E31"/>
    <w:rsid w:val="00C00F3F"/>
    <w:rsid w:val="00C01FED"/>
    <w:rsid w:val="00C06B2F"/>
    <w:rsid w:val="00C06DD7"/>
    <w:rsid w:val="00C076B6"/>
    <w:rsid w:val="00C15B6D"/>
    <w:rsid w:val="00C17695"/>
    <w:rsid w:val="00C21A23"/>
    <w:rsid w:val="00C25E6B"/>
    <w:rsid w:val="00C30F63"/>
    <w:rsid w:val="00C31E26"/>
    <w:rsid w:val="00C326D7"/>
    <w:rsid w:val="00C35CB6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7F12"/>
    <w:rsid w:val="00CC3A4C"/>
    <w:rsid w:val="00CC4CC9"/>
    <w:rsid w:val="00CD27C8"/>
    <w:rsid w:val="00CD3CDD"/>
    <w:rsid w:val="00CE23E9"/>
    <w:rsid w:val="00CF698B"/>
    <w:rsid w:val="00CF6F5E"/>
    <w:rsid w:val="00CF7336"/>
    <w:rsid w:val="00D059FF"/>
    <w:rsid w:val="00D145A9"/>
    <w:rsid w:val="00D14EFD"/>
    <w:rsid w:val="00D17914"/>
    <w:rsid w:val="00D31AA7"/>
    <w:rsid w:val="00D36A07"/>
    <w:rsid w:val="00D41258"/>
    <w:rsid w:val="00D51A2B"/>
    <w:rsid w:val="00D624D8"/>
    <w:rsid w:val="00D62BAE"/>
    <w:rsid w:val="00D63163"/>
    <w:rsid w:val="00D70D55"/>
    <w:rsid w:val="00D75C69"/>
    <w:rsid w:val="00D76AC3"/>
    <w:rsid w:val="00D83301"/>
    <w:rsid w:val="00D8747A"/>
    <w:rsid w:val="00DA0F59"/>
    <w:rsid w:val="00DA3A32"/>
    <w:rsid w:val="00DA4604"/>
    <w:rsid w:val="00DB1368"/>
    <w:rsid w:val="00DB37F0"/>
    <w:rsid w:val="00DB52FF"/>
    <w:rsid w:val="00DC5F6A"/>
    <w:rsid w:val="00DC7E13"/>
    <w:rsid w:val="00DD0AF8"/>
    <w:rsid w:val="00DE4663"/>
    <w:rsid w:val="00DF36F3"/>
    <w:rsid w:val="00DF390C"/>
    <w:rsid w:val="00DF47C9"/>
    <w:rsid w:val="00E07156"/>
    <w:rsid w:val="00E07C55"/>
    <w:rsid w:val="00E1505B"/>
    <w:rsid w:val="00E2027B"/>
    <w:rsid w:val="00E34F93"/>
    <w:rsid w:val="00E35FCF"/>
    <w:rsid w:val="00E36394"/>
    <w:rsid w:val="00E40F66"/>
    <w:rsid w:val="00E4116D"/>
    <w:rsid w:val="00E44582"/>
    <w:rsid w:val="00E45BDE"/>
    <w:rsid w:val="00E50D79"/>
    <w:rsid w:val="00E5364E"/>
    <w:rsid w:val="00E5440E"/>
    <w:rsid w:val="00E62DA2"/>
    <w:rsid w:val="00E67785"/>
    <w:rsid w:val="00E71FC1"/>
    <w:rsid w:val="00E751B4"/>
    <w:rsid w:val="00E75524"/>
    <w:rsid w:val="00E76A94"/>
    <w:rsid w:val="00E77D07"/>
    <w:rsid w:val="00E822C6"/>
    <w:rsid w:val="00E86582"/>
    <w:rsid w:val="00E86B65"/>
    <w:rsid w:val="00E92B55"/>
    <w:rsid w:val="00E943C8"/>
    <w:rsid w:val="00E96B95"/>
    <w:rsid w:val="00EB219C"/>
    <w:rsid w:val="00EB2BD6"/>
    <w:rsid w:val="00EB6CEF"/>
    <w:rsid w:val="00EC22AC"/>
    <w:rsid w:val="00EC3097"/>
    <w:rsid w:val="00EC7AB8"/>
    <w:rsid w:val="00ED2A91"/>
    <w:rsid w:val="00EE02C6"/>
    <w:rsid w:val="00EE395E"/>
    <w:rsid w:val="00EE4114"/>
    <w:rsid w:val="00EE5CA6"/>
    <w:rsid w:val="00EE5F51"/>
    <w:rsid w:val="00EF1C1C"/>
    <w:rsid w:val="00EF46D4"/>
    <w:rsid w:val="00EF5703"/>
    <w:rsid w:val="00EF6831"/>
    <w:rsid w:val="00F02416"/>
    <w:rsid w:val="00F1031F"/>
    <w:rsid w:val="00F119C9"/>
    <w:rsid w:val="00F1369B"/>
    <w:rsid w:val="00F1621E"/>
    <w:rsid w:val="00F24598"/>
    <w:rsid w:val="00F25D85"/>
    <w:rsid w:val="00F306B6"/>
    <w:rsid w:val="00F34B41"/>
    <w:rsid w:val="00F426E5"/>
    <w:rsid w:val="00F438A5"/>
    <w:rsid w:val="00F508A6"/>
    <w:rsid w:val="00F50B78"/>
    <w:rsid w:val="00F51F8B"/>
    <w:rsid w:val="00F537E4"/>
    <w:rsid w:val="00F54CA2"/>
    <w:rsid w:val="00F64EDE"/>
    <w:rsid w:val="00F71B04"/>
    <w:rsid w:val="00F829E8"/>
    <w:rsid w:val="00F933B7"/>
    <w:rsid w:val="00FA128D"/>
    <w:rsid w:val="00FA2E2C"/>
    <w:rsid w:val="00FA70B8"/>
    <w:rsid w:val="00FB4325"/>
    <w:rsid w:val="00FB4EC5"/>
    <w:rsid w:val="00FB7F0D"/>
    <w:rsid w:val="00FC1175"/>
    <w:rsid w:val="00FC12D3"/>
    <w:rsid w:val="00FD6FFB"/>
    <w:rsid w:val="00FE1139"/>
    <w:rsid w:val="00FE39DB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4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2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  <w:style w:type="paragraph" w:customStyle="1" w:styleId="western">
    <w:name w:val="western"/>
    <w:basedOn w:val="Normal"/>
    <w:rsid w:val="00671621"/>
    <w:pPr>
      <w:widowControl/>
      <w:spacing w:before="100" w:beforeAutospacing="1" w:after="100" w:afterAutospacing="1" w:line="240" w:lineRule="auto"/>
    </w:pPr>
    <w:rPr>
      <w:rFonts w:ascii="Times New Roman" w:hAnsi="Times New Roman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3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6E35-3C6C-4006-928F-C2E7CAEF9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9</Pages>
  <Words>2640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10</cp:revision>
  <cp:lastPrinted>2025-03-27T14:38:00Z</cp:lastPrinted>
  <dcterms:created xsi:type="dcterms:W3CDTF">2025-08-27T18:00:00Z</dcterms:created>
  <dcterms:modified xsi:type="dcterms:W3CDTF">2025-08-29T18:27:00Z</dcterms:modified>
</cp:coreProperties>
</file>