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Verdana" w:cs="Verdana" w:eastAsia="Verdana" w:hAnsi="Verdana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baseline"/>
          <w:rtl w:val="0"/>
        </w:rPr>
        <w:t xml:space="preserve">EQUIVALÊNCIAS ENTRE COMPONENTES CURRICULARES E APROVEITAMENTO DE ESTUDOS (EE)</w:t>
      </w:r>
    </w:p>
    <w:p w:rsidR="00000000" w:rsidDel="00000000" w:rsidP="00000000" w:rsidRDefault="00000000" w:rsidRPr="00000000" w14:paraId="00000002">
      <w:pPr>
        <w:ind w:left="0" w:firstLine="0"/>
        <w:rPr>
          <w:rFonts w:ascii="Verdana" w:cs="Verdana" w:eastAsia="Verdana" w:hAnsi="Verdan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1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743"/>
        <w:gridCol w:w="1695"/>
        <w:gridCol w:w="2565"/>
        <w:gridCol w:w="1950"/>
        <w:gridCol w:w="4162"/>
        <w:tblGridChange w:id="0">
          <w:tblGrid>
            <w:gridCol w:w="4743"/>
            <w:gridCol w:w="1695"/>
            <w:gridCol w:w="2565"/>
            <w:gridCol w:w="1950"/>
            <w:gridCol w:w="4162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DISCENTE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MATRÍCULA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CURSO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CURRÍCULO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TURNO/GRAU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E">
      <w:pPr>
        <w:ind w:left="288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rFonts w:ascii="Verdana" w:cs="Verdana" w:eastAsia="Verdana" w:hAnsi="Verdana"/>
          <w:b w:val="1"/>
          <w:sz w:val="26"/>
          <w:szCs w:val="26"/>
          <w:vertAlign w:val="superscript"/>
        </w:rPr>
      </w:pPr>
      <w:r w:rsidDel="00000000" w:rsidR="00000000" w:rsidRPr="00000000">
        <w:rPr>
          <w:rFonts w:ascii="Comfortaa" w:cs="Comfortaa" w:eastAsia="Comfortaa" w:hAnsi="Comfortaa"/>
          <w:b w:val="1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baseline"/>
          <w:rtl w:val="0"/>
        </w:rPr>
        <w:t xml:space="preserve"> EQUIVALÊNCIA INTERNA (EI) ENTRE UNIDADES CURRICULARES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10">
      <w:pPr>
        <w:ind w:lef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2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00"/>
        <w:gridCol w:w="1590"/>
        <w:gridCol w:w="2640"/>
        <w:gridCol w:w="600"/>
        <w:gridCol w:w="1695"/>
        <w:gridCol w:w="3570"/>
        <w:gridCol w:w="1095"/>
        <w:gridCol w:w="1230"/>
        <w:tblGridChange w:id="0">
          <w:tblGrid>
            <w:gridCol w:w="2700"/>
            <w:gridCol w:w="1590"/>
            <w:gridCol w:w="2640"/>
            <w:gridCol w:w="600"/>
            <w:gridCol w:w="1695"/>
            <w:gridCol w:w="3570"/>
            <w:gridCol w:w="1095"/>
            <w:gridCol w:w="1230"/>
          </w:tblGrid>
        </w:tblGridChange>
      </w:tblGrid>
      <w:tr>
        <w:trPr>
          <w:cantSplit w:val="0"/>
          <w:trHeight w:val="569.763779527559" w:hRule="atLeast"/>
          <w:tblHeader w:val="1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COMPONENTES UTILIZADOS PARA A EQUIVALÊNCIA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COMPONENTES QUE SERÃO INCLUÍDOS NO HISTÓRICO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CURSO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CÓDIGO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NOME DO COMPONENTE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CÓDIGO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NOME DO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COMPONENTE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NOTA FINAL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vertAlign w:val="baseline"/>
                <w:rtl w:val="0"/>
              </w:rPr>
              <w:t xml:space="preserve">TE146.13352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vertAlign w:val="baseline"/>
                <w:rtl w:val="0"/>
              </w:rPr>
              <w:t xml:space="preserve">TE146.13352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1440" w:firstLine="720"/>
        <w:rPr>
          <w:rFonts w:ascii="Verdana" w:cs="Verdana" w:eastAsia="Verdana" w:hAnsi="Verdana"/>
          <w:b w:val="1"/>
          <w:sz w:val="26"/>
          <w:szCs w:val="26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baseline"/>
          <w:rtl w:val="0"/>
        </w:rPr>
        <w:t xml:space="preserve">APROVEITAMENTO DE ESTUDOS (Equivalência externa)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3B">
      <w:pPr>
        <w:ind w:left="0" w:firstLine="0"/>
        <w:jc w:val="center"/>
        <w:rPr>
          <w:rFonts w:ascii="Verdana" w:cs="Verdana" w:eastAsia="Verdana" w:hAnsi="Verdana"/>
          <w:b w:val="1"/>
          <w:sz w:val="26"/>
          <w:szCs w:val="26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27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93"/>
        <w:gridCol w:w="4338"/>
        <w:gridCol w:w="699"/>
        <w:gridCol w:w="1695"/>
        <w:gridCol w:w="3872"/>
        <w:gridCol w:w="793"/>
        <w:gridCol w:w="1237"/>
        <w:tblGridChange w:id="0">
          <w:tblGrid>
            <w:gridCol w:w="2493"/>
            <w:gridCol w:w="4338"/>
            <w:gridCol w:w="699"/>
            <w:gridCol w:w="1695"/>
            <w:gridCol w:w="3872"/>
            <w:gridCol w:w="793"/>
            <w:gridCol w:w="1237"/>
          </w:tblGrid>
        </w:tblGridChange>
      </w:tblGrid>
      <w:tr>
        <w:trPr>
          <w:cantSplit w:val="0"/>
          <w:trHeight w:val="570" w:hRule="atLeast"/>
          <w:tblHeader w:val="1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INSTITUIÇÃO ONDE FORAM CURSADOS OS COMPONENTES: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COMPONENTES QUE SERÃO INCLUÍDOS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NO HISTÓRICO NA UFSJ</w:t>
            </w:r>
          </w:p>
        </w:tc>
      </w:tr>
      <w:tr>
        <w:trPr>
          <w:cantSplit w:val="0"/>
          <w:trHeight w:val="525" w:hRule="atLeast"/>
          <w:tblHeader w:val="1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CURSO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NOME DO COMPONENTE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CÓDIGO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NOME DO COMPONENTE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NOTA FINAL</w:t>
            </w:r>
          </w:p>
        </w:tc>
      </w:tr>
      <w:tr>
        <w:trPr>
          <w:cantSplit w:val="0"/>
          <w:trHeight w:val="390" w:hRule="atLeast"/>
          <w:tblHeader w:val="1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vertAlign w:val="baseline"/>
                <w:rtl w:val="0"/>
              </w:rPr>
              <w:t xml:space="preserve">TE146.13352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vertAlign w:val="baseline"/>
                <w:rtl w:val="0"/>
              </w:rPr>
              <w:t xml:space="preserve">TE146.13352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1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ind w:left="110" w:hanging="10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110" w:hanging="100"/>
        <w:jc w:val="left"/>
        <w:rPr>
          <w:b w:val="1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Data: ______/_________/_______</w:t>
      </w:r>
      <w:r w:rsidDel="00000000" w:rsidR="00000000" w:rsidRPr="00000000">
        <w:rPr>
          <w:b w:val="0"/>
          <w:vertAlign w:val="baseline"/>
          <w:rtl w:val="0"/>
        </w:rPr>
        <w:t xml:space="preserve">.                                                                           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73">
      <w:pPr>
        <w:ind w:left="0" w:firstLine="72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Assinatura </w:t>
      </w:r>
    </w:p>
    <w:p w:rsidR="00000000" w:rsidDel="00000000" w:rsidP="00000000" w:rsidRDefault="00000000" w:rsidRPr="00000000" w14:paraId="00000074">
      <w:pPr>
        <w:ind w:left="0" w:firstLine="720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Coordenador (a) do curso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36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Art. 2° da Resolução Conep/UFSJ n. 11, de 25/05/2022.</w:t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36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Art. 3° da Resolução Conep/UFSJ n. 11, de 25/05/2022.</w:t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            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Resolução Conep/UFSJ n. 11, de 25/05/2022-  Disponível em </w:t>
    </w:r>
    <w:hyperlink r:id="rId1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https://sig.ufsj.edu.br/sigrh/public/colegiados/resolucoes.jsf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ind w:left="0" w:firstLine="720"/>
      <w:rPr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2867025" cy="966788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55974" t="0"/>
                  <a:stretch>
                    <a:fillRect/>
                  </a:stretch>
                </pic:blipFill>
                <pic:spPr>
                  <a:xfrm>
                    <a:off x="0" y="0"/>
                    <a:ext cx="2867025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  <w:rtl w:val="0"/>
      </w:rPr>
      <w:t xml:space="preserve">                                                                     </w:t>
    </w:r>
    <w:r w:rsidDel="00000000" w:rsidR="00000000" w:rsidRPr="00000000">
      <w:rPr>
        <w:sz w:val="20"/>
        <w:szCs w:val="20"/>
        <w:vertAlign w:val="baseline"/>
        <w:rtl w:val="0"/>
      </w:rPr>
      <w:t xml:space="preserve">  </w:t>
    </w:r>
  </w:p>
  <w:p w:rsidR="00000000" w:rsidDel="00000000" w:rsidP="00000000" w:rsidRDefault="00000000" w:rsidRPr="00000000" w14:paraId="00000076">
    <w:pPr>
      <w:ind w:firstLine="1125"/>
      <w:jc w:val="both"/>
      <w:rPr>
        <w:sz w:val="16"/>
        <w:szCs w:val="16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                                      </w:t>
    </w:r>
    <w:r w:rsidDel="00000000" w:rsidR="00000000" w:rsidRPr="00000000">
      <w:rPr>
        <w:sz w:val="16"/>
        <w:szCs w:val="16"/>
        <w:vertAlign w:val="baseline"/>
        <w:rtl w:val="0"/>
      </w:rPr>
      <w:t xml:space="preserve">Instituída pela Lei n. 10.425, de 19/04/2002 - DOU de 22/04/2002</w:t>
    </w:r>
  </w:p>
  <w:p w:rsidR="00000000" w:rsidDel="00000000" w:rsidP="00000000" w:rsidRDefault="00000000" w:rsidRPr="00000000" w14:paraId="00000077">
    <w:pPr>
      <w:ind w:left="8640" w:firstLine="0"/>
      <w:rPr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spacing w:line="360" w:lineRule="auto"/>
      <w:ind w:firstLine="5390"/>
      <w:jc w:val="both"/>
      <w:rPr>
        <w:rFonts w:ascii="Verdana" w:cs="Verdana" w:eastAsia="Verdana" w:hAnsi="Verdana"/>
        <w:sz w:val="22"/>
        <w:szCs w:val="22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sz w:val="22"/>
        <w:szCs w:val="22"/>
        <w:u w:val="none"/>
        <w:vertAlign w:val="baseline"/>
        <w:rtl w:val="0"/>
      </w:rPr>
      <w:t xml:space="preserve">Pró-Reitoria de Ensino de Graduação </w:t>
    </w:r>
  </w:p>
  <w:p w:rsidR="00000000" w:rsidDel="00000000" w:rsidP="00000000" w:rsidRDefault="00000000" w:rsidRPr="00000000" w14:paraId="00000079">
    <w:pPr>
      <w:keepNext w:val="0"/>
      <w:keepLines w:val="0"/>
      <w:widowControl w:val="1"/>
      <w:spacing w:line="360" w:lineRule="auto"/>
      <w:ind w:firstLine="2881"/>
      <w:jc w:val="both"/>
      <w:rPr>
        <w:rFonts w:ascii="Verdana" w:cs="Verdana" w:eastAsia="Verdana" w:hAnsi="Verdana"/>
        <w:sz w:val="24"/>
        <w:szCs w:val="24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24"/>
        <w:szCs w:val="24"/>
        <w:u w:val="none"/>
        <w:vertAlign w:val="baseline"/>
        <w:rtl w:val="0"/>
      </w:rPr>
      <w:t xml:space="preserve">DIVISÃO DE ACOMPANHAMENTO E CONTROLE ACADÊMICO</w:t>
    </w:r>
    <w:r w:rsidDel="00000000" w:rsidR="00000000" w:rsidRPr="00000000">
      <w:rPr>
        <w:rFonts w:ascii="Verdana" w:cs="Verdana" w:eastAsia="Verdana" w:hAnsi="Verdana"/>
        <w:sz w:val="24"/>
        <w:szCs w:val="24"/>
        <w:u w:val="none"/>
        <w:vertAlign w:val="baseline"/>
        <w:rtl w:val="0"/>
      </w:rPr>
      <w:t xml:space="preserve">  - </w:t>
    </w:r>
    <w:r w:rsidDel="00000000" w:rsidR="00000000" w:rsidRPr="00000000">
      <w:rPr>
        <w:rFonts w:ascii="Verdana" w:cs="Verdana" w:eastAsia="Verdana" w:hAnsi="Verdana"/>
        <w:b w:val="1"/>
        <w:sz w:val="24"/>
        <w:szCs w:val="24"/>
        <w:u w:val="none"/>
        <w:vertAlign w:val="baseline"/>
        <w:rtl w:val="0"/>
      </w:rPr>
      <w:t xml:space="preserve">DICON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spacing w:line="360" w:lineRule="auto"/>
      <w:jc w:val="both"/>
      <w:rPr>
        <w:rFonts w:ascii="Verdana" w:cs="Verdana" w:eastAsia="Verdana" w:hAnsi="Verdana"/>
        <w:sz w:val="24"/>
        <w:szCs w:val="24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sz w:val="24"/>
        <w:szCs w:val="24"/>
        <w:u w:val="none"/>
        <w:vertAlign w:val="baseline"/>
        <w:rtl w:val="0"/>
      </w:rPr>
      <w:t xml:space="preserve">___________________________________________________________________________________________</w:t>
    </w:r>
  </w:p>
  <w:p w:rsidR="00000000" w:rsidDel="00000000" w:rsidP="00000000" w:rsidRDefault="00000000" w:rsidRPr="00000000" w14:paraId="0000007B">
    <w:pPr>
      <w:keepNext w:val="0"/>
      <w:keepLines w:val="0"/>
      <w:widowControl w:val="1"/>
      <w:jc w:val="both"/>
      <w:rPr>
        <w:rFonts w:ascii="Verdana" w:cs="Verdana" w:eastAsia="Verdana" w:hAnsi="Verdana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val="zh-CN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val="zh-CN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val="zh-CN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val="zh-CN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3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val="zh-CN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4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val="zh-CN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5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val="zh-CN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rStyle w:val="Fonteparág.padrão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52"/>
      <w:szCs w:val="52"/>
      <w:effect w:val="none"/>
      <w:vertAlign w:val="baseline"/>
      <w:cs w:val="0"/>
      <w:em w:val="none"/>
      <w:lang w:val="zh-CN"/>
    </w:rPr>
  </w:style>
  <w:style w:type="paragraph" w:styleId="Normal(Web)">
    <w:name w:val="Normal (Web)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w w:val="100"/>
      <w:kern w:val="0"/>
      <w:position w:val="-1"/>
      <w:szCs w:val="24"/>
      <w:effect w:val="none"/>
      <w:vertAlign w:val="baseline"/>
      <w:cs w:val="0"/>
      <w:em w:val="none"/>
      <w:lang w:bidi="und" w:eastAsia="zh-CN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val="zh-CN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val="zh-CN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</w:tblPr>
  </w:style>
  <w:style w:type="table" w:styleId="_Style10">
    <w:name w:val="_Style 10"/>
    <w:basedOn w:val="TableNormal"/>
    <w:next w:val="_Style1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_Style10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_Style11">
    <w:name w:val="_Style 11"/>
    <w:basedOn w:val="TableNormal"/>
    <w:next w:val="_Style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_Style1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_Style12">
    <w:name w:val="_Style 12"/>
    <w:basedOn w:val="TableNormal"/>
    <w:next w:val="_Style1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_Style12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ig.ufsj.edu.br/sigrh/public/colegiados/resolucoes.js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utRcwcKdQhmn2E62EcftqI72w==">CgMxLjA4AHIhMU9nQldNTXJudWc1WjBidXZmbUtvOE44TEtOWi1OcDdV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2023-07-14T12:54:01Z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CC018BA5E5D84D5B8D7E95E6409DE390</vt:lpwstr>
  </property>
</Properties>
</file>