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center"/>
        <w:rPr>
          <w:rFonts w:hint="default"/>
          <w:b/>
          <w:bCs/>
          <w:sz w:val="24"/>
          <w:szCs w:val="24"/>
          <w:lang w:val="pt-PT"/>
        </w:rPr>
      </w:pPr>
      <w:r>
        <w:rPr>
          <w:rFonts w:hint="default"/>
          <w:b/>
          <w:bCs/>
          <w:sz w:val="24"/>
          <w:szCs w:val="24"/>
          <w:lang w:val="pt-PT"/>
        </w:rPr>
        <w:t>Orientações para a elaboração do projeto de pesquisa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b/>
          <w:bCs/>
          <w:sz w:val="24"/>
          <w:szCs w:val="24"/>
          <w:lang w:val="pt-PT"/>
        </w:rPr>
      </w:pPr>
      <w:r>
        <w:rPr>
          <w:rFonts w:hint="default"/>
          <w:b/>
          <w:bCs/>
          <w:sz w:val="24"/>
          <w:szCs w:val="24"/>
          <w:lang w:val="pt-PT"/>
        </w:rPr>
        <w:t>1. Do projeto de pesquisa: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O Projeto de Pesquisa é um item fundamental para a caracterização da hipótese de dispensa/inexigibilidade de licitação destinada à aquisição de item/contratação de serviço destinado exclusivamente para a utilização em pesquisa.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Conforme disposto na Lei nº 8.666/1993: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Art. 24.  É dispensável a licitação:</w:t>
      </w: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(...)</w:t>
      </w: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 xml:space="preserve">XXI - para </w:t>
      </w:r>
      <w:r>
        <w:rPr>
          <w:rFonts w:hint="default"/>
          <w:b/>
          <w:bCs/>
          <w:sz w:val="24"/>
          <w:szCs w:val="24"/>
          <w:lang w:val="pt-PT"/>
        </w:rPr>
        <w:t>a aquisição ou contratação de produto para pesquisa e desenvolvimento</w:t>
      </w:r>
      <w:r>
        <w:rPr>
          <w:rFonts w:hint="default"/>
          <w:sz w:val="24"/>
          <w:szCs w:val="24"/>
          <w:lang w:val="pt-PT"/>
        </w:rPr>
        <w:t>, limitada, no caso de obras e serviços de engenharia, a 20% (vinte por cento) do valor de que trata a alínea “b” do inciso I do caput do art. 23;</w:t>
      </w: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Art. 6º  Para os fins desta Lei, considera-se:</w:t>
      </w: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(...)</w:t>
      </w: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 xml:space="preserve">XX - </w:t>
      </w:r>
      <w:r>
        <w:rPr>
          <w:rFonts w:hint="default"/>
          <w:b/>
          <w:bCs/>
          <w:sz w:val="24"/>
          <w:szCs w:val="24"/>
          <w:lang w:val="pt-PT"/>
        </w:rPr>
        <w:t>produtos para pesquisa e desenvolvimento</w:t>
      </w:r>
      <w:r>
        <w:rPr>
          <w:rFonts w:hint="default"/>
          <w:sz w:val="24"/>
          <w:szCs w:val="24"/>
          <w:lang w:val="pt-PT"/>
        </w:rPr>
        <w:t xml:space="preserve"> - bens, insumos, serviços e obras necessários para atividade de pesquisa científica e tecnológica, desenvolvimento de tecnologia ou inovação tecnológica, </w:t>
      </w:r>
      <w:r>
        <w:rPr>
          <w:rFonts w:hint="default"/>
          <w:sz w:val="24"/>
          <w:szCs w:val="24"/>
          <w:highlight w:val="yellow"/>
          <w:lang w:val="pt-PT"/>
        </w:rPr>
        <w:t>discriminados em projeto de pesquisa aprovado pela instituição contratante</w:t>
      </w:r>
      <w:r>
        <w:rPr>
          <w:rFonts w:hint="default"/>
          <w:sz w:val="24"/>
          <w:szCs w:val="24"/>
          <w:lang w:val="pt-PT"/>
        </w:rPr>
        <w:t>.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 xml:space="preserve">Art. 25.  </w:t>
      </w:r>
      <w:r>
        <w:rPr>
          <w:rFonts w:hint="default"/>
          <w:b/>
          <w:bCs/>
          <w:sz w:val="24"/>
          <w:szCs w:val="24"/>
          <w:lang w:val="pt-PT"/>
        </w:rPr>
        <w:t>É inexigível a licitação quando houver inviabilidade de competição</w:t>
      </w:r>
      <w:r>
        <w:rPr>
          <w:rFonts w:hint="default"/>
          <w:sz w:val="24"/>
          <w:szCs w:val="24"/>
          <w:lang w:val="pt-PT"/>
        </w:rPr>
        <w:t>, em especial:</w:t>
      </w: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I - para aquisição de materiais, equipamentos, ou gêneros que só possam ser fornecidos por produtor, empresa ou representante comercial exclusivo, vedada a preferência de marca, devendo a comprovação de exclusividade ser feita através de atestado fornecido pelo órgão de registro do comércio do local em que se realizaria a licitação ou a obra ou o serviço, pelo Sindicato, Federação ou Confederação Patronal, ou, ainda, pelas entidades equivalentes; (</w:t>
      </w:r>
      <w:r>
        <w:rPr>
          <w:rFonts w:hint="default"/>
          <w:i/>
          <w:iCs/>
          <w:sz w:val="24"/>
          <w:szCs w:val="24"/>
          <w:lang w:val="pt-PT"/>
        </w:rPr>
        <w:t>grifo nosso</w:t>
      </w:r>
      <w:r>
        <w:rPr>
          <w:rFonts w:hint="default"/>
          <w:sz w:val="24"/>
          <w:szCs w:val="24"/>
          <w:lang w:val="pt-PT"/>
        </w:rPr>
        <w:t>)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É importante ressaltar que a Lei nº 8.666/93 será revogada pela nova Lei de Licitações (Lei nº 14.133/21) em 31 de março de 2023. Entretanto a nova Lei nº 14.133/21 conservou o entendimento indicado na antiga Lei, como pode ser observado abaixo:</w:t>
      </w:r>
    </w:p>
    <w:p>
      <w:pPr>
        <w:jc w:val="both"/>
        <w:rPr>
          <w:rFonts w:hint="default"/>
          <w:sz w:val="24"/>
          <w:szCs w:val="24"/>
          <w:lang w:val="pt-PT"/>
        </w:rPr>
      </w:pPr>
      <w:bookmarkStart w:id="0" w:name="_GoBack"/>
      <w:bookmarkEnd w:id="0"/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 xml:space="preserve">Art. 75. </w:t>
      </w:r>
      <w:r>
        <w:rPr>
          <w:rFonts w:hint="default"/>
          <w:b/>
          <w:bCs/>
          <w:sz w:val="24"/>
          <w:szCs w:val="24"/>
          <w:lang w:val="pt-PT"/>
        </w:rPr>
        <w:t>É dispensável a licitação</w:t>
      </w:r>
      <w:r>
        <w:rPr>
          <w:rFonts w:hint="default"/>
          <w:sz w:val="24"/>
          <w:szCs w:val="24"/>
          <w:lang w:val="pt-PT"/>
        </w:rPr>
        <w:t>:</w:t>
      </w: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(...)</w:t>
      </w: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 xml:space="preserve">IV - </w:t>
      </w:r>
      <w:r>
        <w:rPr>
          <w:rFonts w:hint="default"/>
          <w:b/>
          <w:bCs/>
          <w:sz w:val="24"/>
          <w:szCs w:val="24"/>
          <w:lang w:val="pt-PT"/>
        </w:rPr>
        <w:t>para contratação que tenha por objeto</w:t>
      </w:r>
      <w:r>
        <w:rPr>
          <w:rFonts w:hint="default"/>
          <w:sz w:val="24"/>
          <w:szCs w:val="24"/>
          <w:lang w:val="pt-PT"/>
        </w:rPr>
        <w:t>:</w:t>
      </w: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(...)</w:t>
      </w: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 xml:space="preserve">c) </w:t>
      </w:r>
      <w:r>
        <w:rPr>
          <w:rFonts w:hint="default"/>
          <w:b/>
          <w:bCs/>
          <w:sz w:val="24"/>
          <w:szCs w:val="24"/>
          <w:lang w:val="pt-PT"/>
        </w:rPr>
        <w:t>produtos para pesquisa e desenvolvimento</w:t>
      </w:r>
      <w:r>
        <w:rPr>
          <w:rFonts w:hint="default"/>
          <w:sz w:val="24"/>
          <w:szCs w:val="24"/>
          <w:lang w:val="pt-PT"/>
        </w:rPr>
        <w:t>, limitada a contratação, no caso de obras e serviços de engenharia, ao valor de R$ 300.000,00 (trezentos mil reais).</w:t>
      </w: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Art. 6º Para os fins desta Lei, consideram-se:</w:t>
      </w: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(...)</w:t>
      </w: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 xml:space="preserve">LV - </w:t>
      </w:r>
      <w:r>
        <w:rPr>
          <w:rFonts w:hint="default"/>
          <w:b/>
          <w:bCs/>
          <w:sz w:val="24"/>
          <w:szCs w:val="24"/>
          <w:lang w:val="pt-PT"/>
        </w:rPr>
        <w:t>produtos para pesquisa e desenvolvimento</w:t>
      </w:r>
      <w:r>
        <w:rPr>
          <w:rFonts w:hint="default"/>
          <w:sz w:val="24"/>
          <w:szCs w:val="24"/>
          <w:lang w:val="pt-PT"/>
        </w:rPr>
        <w:t xml:space="preserve">: bens, insumos, serviços e obras necessários para atividade de pesquisa científica e tecnológica, desenvolvimento de tecnologia ou inovação tecnológica, </w:t>
      </w:r>
      <w:r>
        <w:rPr>
          <w:rFonts w:hint="default"/>
          <w:b/>
          <w:bCs/>
          <w:sz w:val="24"/>
          <w:szCs w:val="24"/>
          <w:lang w:val="pt-PT"/>
        </w:rPr>
        <w:t>discriminados em projeto de pesquisa</w:t>
      </w:r>
      <w:r>
        <w:rPr>
          <w:rFonts w:hint="default"/>
          <w:sz w:val="24"/>
          <w:szCs w:val="24"/>
          <w:lang w:val="pt-PT"/>
        </w:rPr>
        <w:t>;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Nossa Resolução nº 014/2021-CONDI que regulamenta a utilização dos recursos do PROAP referenda esta orientação em seus artigos 23 e 24.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 xml:space="preserve">Portanto, recomenda-se que os </w:t>
      </w:r>
      <w:r>
        <w:rPr>
          <w:rFonts w:hint="default"/>
          <w:b/>
          <w:bCs/>
          <w:sz w:val="24"/>
          <w:szCs w:val="24"/>
          <w:lang w:val="pt-PT"/>
        </w:rPr>
        <w:t>projetos de pesquisa apresentem uma especificação clara dos itens e ou serviços necessários à sua implementação</w:t>
      </w:r>
      <w:r>
        <w:rPr>
          <w:rFonts w:hint="default"/>
          <w:sz w:val="24"/>
          <w:szCs w:val="24"/>
          <w:lang w:val="pt-PT"/>
        </w:rPr>
        <w:t>. Essa descrição pode ser efetivada na parte textual do projeto ou nas tabelas de orçamento/materiais necessários para sua implementação.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Sugere-se a construção de tabelas que explicitem, de forma detalhada, a descrição do objeto, a quantidade requerida e a justificativa desse requerimento, exemplo: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3339"/>
        <w:gridCol w:w="1528"/>
        <w:gridCol w:w="36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339" w:type="dxa"/>
          </w:tcPr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PT"/>
              </w:rPr>
              <w:t>Descrição do item/serviço:</w:t>
            </w:r>
          </w:p>
        </w:tc>
        <w:tc>
          <w:tcPr>
            <w:tcW w:w="1528" w:type="dxa"/>
          </w:tcPr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PT"/>
              </w:rPr>
              <w:t>Quantidade:</w:t>
            </w:r>
          </w:p>
        </w:tc>
        <w:tc>
          <w:tcPr>
            <w:tcW w:w="3655" w:type="dxa"/>
          </w:tcPr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PT"/>
              </w:rPr>
              <w:t>Justificativa: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339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>Ex. Solução agar-agar frascos com 1000g</w:t>
            </w:r>
          </w:p>
        </w:tc>
        <w:tc>
          <w:tcPr>
            <w:tcW w:w="1528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>2</w:t>
            </w:r>
          </w:p>
        </w:tc>
        <w:tc>
          <w:tcPr>
            <w:tcW w:w="3655" w:type="dxa"/>
          </w:tcPr>
          <w:p>
            <w:p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>Ex. Foram solicitados 2 frascos de 1000g com fundamento no fato de que o projeto xxxxxx previu, em sua metodologia, a utilização de ágar-agar em 12 baterias de meios de cultura com 100g em cada uma, totalizando 1200g. O excedente foi demandado como margem de segurança em razão de eventuais equívocos na realização das baterias que impliquem na necessidade de repetí-las.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339" w:type="dxa"/>
          </w:tcPr>
          <w:p>
            <w:p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</w:p>
        </w:tc>
        <w:tc>
          <w:tcPr>
            <w:tcW w:w="1528" w:type="dxa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</w:p>
        </w:tc>
        <w:tc>
          <w:tcPr>
            <w:tcW w:w="3655" w:type="dxa"/>
          </w:tcPr>
          <w:p>
            <w:p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</w:p>
        </w:tc>
      </w:tr>
    </w:tbl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No que concerne ao serviços de manutenção, sugere-se a adoção de textos chave que englobem eventuais demandas relativas ao equipamentos, por exemplo: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522" w:type="dxa"/>
          </w:tcPr>
          <w:p>
            <w:p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sz w:val="24"/>
                <w:szCs w:val="24"/>
                <w:lang w:val="pt-PT"/>
              </w:rPr>
              <w:t>“Para implementação da metodologia de pesquisa apresentada, será necessário realizar procedimentos de manutenção dos equipamentos listados na relação de aparelhos prevista no projeto”.</w:t>
            </w:r>
          </w:p>
        </w:tc>
      </w:tr>
    </w:tbl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Nos projetos das áreas de ciências humanas, recomendamos, também, a adoção de textos chave que prevejam os eventuais produtos possíveis para o projeto, exemplo: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jc w:val="both"/>
              <w:rPr>
                <w:rFonts w:hint="default"/>
                <w:sz w:val="24"/>
                <w:szCs w:val="24"/>
                <w:lang w:val="pt-PT"/>
              </w:rPr>
            </w:pPr>
            <w:r>
              <w:rPr>
                <w:rFonts w:hint="default"/>
                <w:sz w:val="24"/>
                <w:szCs w:val="24"/>
                <w:lang w:val="pt-PT"/>
              </w:rPr>
              <w:t>Espera-se, como resultados deste projeto:</w:t>
            </w:r>
          </w:p>
          <w:p>
            <w:pPr>
              <w:jc w:val="both"/>
              <w:rPr>
                <w:rFonts w:hint="default"/>
                <w:sz w:val="24"/>
                <w:szCs w:val="24"/>
                <w:lang w:val="pt-PT"/>
              </w:rPr>
            </w:pPr>
          </w:p>
          <w:p>
            <w:pPr>
              <w:jc w:val="both"/>
              <w:rPr>
                <w:rFonts w:hint="default"/>
                <w:sz w:val="24"/>
                <w:szCs w:val="24"/>
                <w:lang w:val="pt-PT"/>
              </w:rPr>
            </w:pPr>
            <w:r>
              <w:rPr>
                <w:rFonts w:hint="default"/>
                <w:sz w:val="24"/>
                <w:szCs w:val="24"/>
                <w:lang w:val="pt-PT"/>
              </w:rPr>
              <w:t>-A apresentação de trabalhos em eventos acadêmicos da área;</w:t>
            </w:r>
          </w:p>
          <w:p>
            <w:pPr>
              <w:jc w:val="both"/>
              <w:rPr>
                <w:rFonts w:hint="default"/>
                <w:sz w:val="24"/>
                <w:szCs w:val="24"/>
                <w:lang w:val="pt-PT"/>
              </w:rPr>
            </w:pPr>
            <w:r>
              <w:rPr>
                <w:rFonts w:hint="default"/>
                <w:sz w:val="24"/>
                <w:szCs w:val="24"/>
                <w:lang w:val="pt-PT"/>
              </w:rPr>
              <w:t>-A elaboração e publicação de trabalhos derivados da pesquisa, tais como artigos e/ou livros;</w:t>
            </w:r>
          </w:p>
          <w:p>
            <w:p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sz w:val="24"/>
                <w:szCs w:val="24"/>
                <w:lang w:val="pt-PT"/>
              </w:rPr>
              <w:t>(...)</w:t>
            </w:r>
          </w:p>
        </w:tc>
      </w:tr>
    </w:tbl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Ainda que o projeto não resulte na construção de todos estes produtos, a previsão de texto proposto de forma aberta, viabiliza a aquisição de eventuais serviços/materiais, nas hipóteses em que o decurso da pesquisa eventualmente indique a possibilidade de elaboração dos mesmos.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É importante observar que o projeto de pesquisa precisa estar aprovado e o documento que comprova esta aprovação precisa ser encaminhado junto com o projeto.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Os projetos de docentes precisam ser aprovados pelo respectivo departamento nos termos do inciso III do artigo 40 do Regimento Geral da UFSJ.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Art. 40. Ao Departamento compete:</w:t>
      </w: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(...)</w:t>
      </w: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III – aprovar projetos de ensino, pesquisa e extensão;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No caso do CCO, os projetos precisam ser aprovados pela Congregação e pela Câmara de Pesquisa e Pós-graduação - Resolução nº 017/2020-CONSU, artigo 8º, inciso VII e artigo 16, inciso I.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Art. 8º À Congregação do Centro compete:</w:t>
      </w: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(...)</w:t>
      </w: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 xml:space="preserve">VII – dar anuência aos projetos pedagógicos e </w:t>
      </w:r>
      <w:r>
        <w:rPr>
          <w:rFonts w:hint="default"/>
          <w:b/>
          <w:bCs/>
          <w:sz w:val="24"/>
          <w:szCs w:val="24"/>
          <w:lang w:val="pt-PT"/>
        </w:rPr>
        <w:t>matérias pertinentes aos cursos de graduação e pós-graduação existentes no Centro</w:t>
      </w:r>
      <w:r>
        <w:rPr>
          <w:rFonts w:hint="default"/>
          <w:sz w:val="24"/>
          <w:szCs w:val="24"/>
          <w:lang w:val="pt-PT"/>
        </w:rPr>
        <w:t>;</w:t>
      </w: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Art. 16. À Câmara de Ensino, Pesquisa e Extensão, compete:</w:t>
      </w: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I – aprovar os projetos de ensino, pesquisa e extensão em consonância com as diretrizes institucionais;</w:t>
      </w: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 xml:space="preserve">(...). </w:t>
      </w:r>
      <w:r>
        <w:rPr>
          <w:rFonts w:hint="default"/>
          <w:i/>
          <w:iCs/>
          <w:sz w:val="24"/>
          <w:szCs w:val="24"/>
          <w:lang w:val="pt-PT"/>
        </w:rPr>
        <w:t>grifo nosso</w:t>
      </w:r>
      <w:r>
        <w:rPr>
          <w:rFonts w:hint="default"/>
          <w:sz w:val="24"/>
          <w:szCs w:val="24"/>
          <w:lang w:val="pt-PT"/>
        </w:rPr>
        <w:t>.</w:t>
      </w:r>
    </w:p>
    <w:sectPr>
      <w:headerReference r:id="rId3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Droid Sans Fallbac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SimHei">
    <w:altName w:val="Droid Sans Fallback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  <w:rPr>
        <w:rFonts w:hint="default"/>
        <w:lang w:val="pt-PT"/>
      </w:rPr>
    </w:pPr>
    <w:r>
      <w:rPr>
        <w:rFonts w:hint="default"/>
        <w:lang w:val="pt-PT"/>
      </w:rPr>
      <w:drawing>
        <wp:inline distT="0" distB="0" distL="114300" distR="114300">
          <wp:extent cx="949960" cy="950595"/>
          <wp:effectExtent l="0" t="0" r="2540" b="1905"/>
          <wp:docPr id="2" name="Imagem 2" descr="marca assinatura vert col jpg"/>
          <wp:cNvGraphicFramePr>
            <a:graphicFrameLocks xmlns:a="http://schemas.openxmlformats.org/drawingml/2006/main" noChangeAspect="tru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marca assinatura vert col jpg"/>
                  <pic:cNvPicPr>
                    <a:picLocks noChangeAspect="true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49960" cy="950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6"/>
      <w:jc w:val="center"/>
      <w:rPr>
        <w:rFonts w:hint="default"/>
        <w:b/>
        <w:bCs/>
        <w:lang w:val="pt-PT"/>
      </w:rPr>
    </w:pPr>
    <w:r>
      <w:rPr>
        <w:rFonts w:hint="default"/>
        <w:b/>
        <w:bCs/>
        <w:lang w:val="pt-PT"/>
      </w:rPr>
      <w:t>ANEXOS AO MANUAL DO PROAP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AF37E3"/>
    <w:rsid w:val="27DF6816"/>
    <w:rsid w:val="334EE424"/>
    <w:rsid w:val="36FF8D58"/>
    <w:rsid w:val="37F11D42"/>
    <w:rsid w:val="45C71032"/>
    <w:rsid w:val="5FE9244F"/>
    <w:rsid w:val="6FB71788"/>
    <w:rsid w:val="76F9179F"/>
    <w:rsid w:val="77E8B631"/>
    <w:rsid w:val="7F3FAD45"/>
    <w:rsid w:val="7F79DBC0"/>
    <w:rsid w:val="7FFFB7EE"/>
    <w:rsid w:val="8F37A830"/>
    <w:rsid w:val="CA8E8A1B"/>
    <w:rsid w:val="DCFFECB2"/>
    <w:rsid w:val="DDF3D2EF"/>
    <w:rsid w:val="E6AB9D14"/>
    <w:rsid w:val="EFF7AB7F"/>
    <w:rsid w:val="F661786E"/>
    <w:rsid w:val="FAC9444A"/>
    <w:rsid w:val="FDAF37E3"/>
    <w:rsid w:val="FDD2B894"/>
    <w:rsid w:val="FF941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header"/>
    <w:basedOn w:val="1"/>
    <w:qFormat/>
    <w:uiPriority w:val="0"/>
    <w:pPr>
      <w:tabs>
        <w:tab w:val="center" w:pos="4252"/>
        <w:tab w:val="right" w:pos="8504"/>
      </w:tabs>
    </w:pPr>
  </w:style>
  <w:style w:type="paragraph" w:styleId="7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table" w:styleId="8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Conteúdo do quadro"/>
    <w:basedOn w:val="1"/>
    <w:qFormat/>
    <w:uiPriority w:val="6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2021-03-11T09:22:00Z</dcterms:created>
  <dc:creator>daniel</dc:creator>
  <cp:lastModifiedBy>daniel</cp:lastModifiedBy>
  <dcterms:modified xsi:type="dcterms:W3CDTF">2021-07-13T11:18:15Z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1046-11.1.0.10161</vt:lpwstr>
  </property>
</Properties>
</file>