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rFonts w:eastAsia="Arial" w:cs="Arial" w:asciiTheme="majorHAnsi" w:hAnsiTheme="majorHAnsi"/>
          <w:b/>
          <w:sz w:val="24"/>
          <w:szCs w:val="24"/>
        </w:rPr>
      </w:pPr>
      <w:bookmarkStart w:id="1" w:name="_GoBack"/>
      <w:bookmarkEnd w:id="1"/>
      <w:r>
        <w:rPr>
          <w:rFonts w:eastAsia="Arial" w:cs="Arial" w:asciiTheme="majorHAnsi" w:hAnsiTheme="majorHAnsi"/>
          <w:b/>
          <w:sz w:val="24"/>
          <w:szCs w:val="24"/>
        </w:rPr>
        <w:t>ENSINO DE GRADUAÇÃO</w:t>
      </w:r>
    </w:p>
    <w:p>
      <w:pPr>
        <w:spacing w:after="160"/>
        <w:jc w:val="center"/>
        <w:rPr>
          <w:rFonts w:eastAsia="Arial" w:cs="Arial" w:asciiTheme="majorHAnsi" w:hAnsiTheme="majorHAnsi"/>
          <w:b/>
        </w:rPr>
      </w:pPr>
    </w:p>
    <w:p>
      <w:pPr>
        <w:spacing w:after="160"/>
        <w:jc w:val="center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SUGESTÃO DE TEXTO INICIAL</w:t>
      </w:r>
    </w:p>
    <w:p>
      <w:pPr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Os cursos de graduação da UFSJ têm como objetivo a formação acadêmica e profissional do discente, habilitando-o à obtenção de graus acadêmicos na forma da lei. Com base neste princípio, o ensino de graduação da UFSJ constitui-se na base institucional mais ampla da formação superior com vistas ao atendimento às demandas regionais e nacionais por profissionais qualificados e capazes de atuarem de maneira crítica e responsável na construção de uma sociedade mais justa, inclusiva, solidária e desenvolvida.</w:t>
      </w:r>
    </w:p>
    <w:p>
      <w:pPr>
        <w:spacing w:after="0"/>
        <w:jc w:val="both"/>
        <w:rPr>
          <w:rFonts w:eastAsia="Arial" w:cs="Arial" w:asciiTheme="majorHAnsi" w:hAnsiTheme="majorHAnsi"/>
          <w:b/>
        </w:rPr>
      </w:pPr>
    </w:p>
    <w:p>
      <w:pPr>
        <w:spacing w:after="0"/>
        <w:jc w:val="center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SUGESTÕES DE TÓPICOS A SEREM DISCUTIDOS PARA DEFINIÇÃO DOS OBJETIVOS</w:t>
      </w:r>
    </w:p>
    <w:p>
      <w:pPr>
        <w:spacing w:after="0"/>
        <w:jc w:val="both"/>
        <w:rPr>
          <w:rFonts w:eastAsia="Arial" w:cs="Arial" w:asciiTheme="majorHAnsi" w:hAnsiTheme="majorHAnsi"/>
        </w:rPr>
      </w:pP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Qualidade dos cursos de graduação;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Condições de ingresso, permanência e êxito acadêmico;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 xml:space="preserve">- Acompanhamento dos ingressantes pelo sistema de cotas; 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Índices de evasão e retenção;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 xml:space="preserve">- Estrutura acadêmica (currículos, práticas e tecnologias educacionais); 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 Programas de Monitoria, Tutoria, PET, Estágios e Mobilidade Acadêmica;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Curricularização da Extensão;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 xml:space="preserve">- Relações Étnico-Raciais, Educação Ambiental e Direitos Humanos no âmbito dos cursos de graduação; 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Formação Continuada dos docentes;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Integração dos cursos de graduação com a pós-graduação e a pesquisa;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Integração dos cursos de Licenciatura às Redes Públicas de Ensino e Escolas de Educação Básica;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Interdisciplinaridade no ensino de graduação;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- Criação de novos cursos de graduação.</w:t>
      </w:r>
    </w:p>
    <w:p>
      <w:pPr>
        <w:spacing w:after="0"/>
        <w:jc w:val="both"/>
        <w:rPr>
          <w:rFonts w:eastAsia="Arial" w:cs="Arial" w:asciiTheme="majorHAnsi" w:hAnsiTheme="majorHAnsi"/>
        </w:rPr>
      </w:pPr>
    </w:p>
    <w:p>
      <w:pPr>
        <w:spacing w:after="0"/>
        <w:jc w:val="center"/>
      </w:pPr>
      <w:r>
        <w:t>EXEMPLO DE QUADRO DE AÇÕES, INDICADORES E METAS PARA CADA OBJETIVO</w:t>
      </w:r>
    </w:p>
    <w:p>
      <w:pPr>
        <w:spacing w:after="0"/>
        <w:jc w:val="both"/>
        <w:rPr>
          <w:rFonts w:eastAsia="Arial" w:cs="Arial" w:asciiTheme="majorHAnsi" w:hAnsiTheme="majorHAnsi"/>
        </w:rPr>
      </w:pPr>
    </w:p>
    <w:tbl>
      <w:tblPr>
        <w:tblStyle w:val="13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4"/>
        <w:gridCol w:w="3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OBJETIVO: Buscar a excelência nos cursos de graduação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Align w:val="center"/>
          </w:tcPr>
          <w:p>
            <w:pPr>
              <w:spacing w:after="0" w:line="276" w:lineRule="auto"/>
              <w:jc w:val="center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AÇÕES</w:t>
            </w:r>
          </w:p>
        </w:tc>
        <w:tc>
          <w:tcPr>
            <w:tcW w:w="3284" w:type="dxa"/>
            <w:vAlign w:val="center"/>
          </w:tcPr>
          <w:p>
            <w:pPr>
              <w:spacing w:after="0" w:line="276" w:lineRule="auto"/>
              <w:jc w:val="center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INDICADORES</w:t>
            </w:r>
          </w:p>
        </w:tc>
        <w:tc>
          <w:tcPr>
            <w:tcW w:w="3285" w:type="dxa"/>
            <w:vAlign w:val="center"/>
          </w:tcPr>
          <w:p>
            <w:pPr>
              <w:spacing w:after="0" w:line="276" w:lineRule="auto"/>
              <w:jc w:val="center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 xml:space="preserve">METAS </w:t>
            </w:r>
          </w:p>
          <w:p>
            <w:pPr>
              <w:spacing w:after="0" w:line="276" w:lineRule="auto"/>
              <w:jc w:val="center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(a partir da aprovação do PDI)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Melhorar os indicadores de qualidade dos cursos</w:t>
            </w:r>
          </w:p>
        </w:tc>
        <w:tc>
          <w:tcPr>
            <w:tcW w:w="3284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CPC</w:t>
            </w:r>
          </w:p>
        </w:tc>
        <w:tc>
          <w:tcPr>
            <w:tcW w:w="3285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Aumentar o CPC de, no mínimo, 30% dos cursos até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Atualizar os PPCs</w:t>
            </w:r>
          </w:p>
        </w:tc>
        <w:tc>
          <w:tcPr>
            <w:tcW w:w="3284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Número de PPCs aprovados</w:t>
            </w:r>
          </w:p>
        </w:tc>
        <w:tc>
          <w:tcPr>
            <w:tcW w:w="3285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  <w:r>
              <w:rPr>
                <w:rFonts w:eastAsia="Arial" w:cs="Arial" w:asciiTheme="majorHAnsi" w:hAnsiTheme="majorHAnsi"/>
              </w:rPr>
              <w:t>100% dos PPCs em conformidade com a legislação até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</w:p>
        </w:tc>
        <w:tc>
          <w:tcPr>
            <w:tcW w:w="3284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</w:p>
        </w:tc>
        <w:tc>
          <w:tcPr>
            <w:tcW w:w="3285" w:type="dxa"/>
          </w:tcPr>
          <w:p>
            <w:pPr>
              <w:spacing w:after="0" w:line="276" w:lineRule="auto"/>
              <w:jc w:val="both"/>
              <w:rPr>
                <w:rFonts w:eastAsia="Arial" w:cs="Arial" w:asciiTheme="majorHAnsi" w:hAnsiTheme="majorHAnsi"/>
              </w:rPr>
            </w:pPr>
          </w:p>
        </w:tc>
      </w:tr>
    </w:tbl>
    <w:p>
      <w:pPr>
        <w:spacing w:after="0"/>
        <w:jc w:val="both"/>
        <w:rPr>
          <w:rFonts w:eastAsia="Arial" w:cs="Arial" w:asciiTheme="majorHAnsi" w:hAnsiTheme="majorHAnsi"/>
        </w:rPr>
      </w:pP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</w:rPr>
        <w:t>GLOSSÁRIO:</w:t>
      </w:r>
    </w:p>
    <w:p>
      <w:pPr>
        <w:spacing w:after="0"/>
        <w:jc w:val="both"/>
        <w:rPr>
          <w:rFonts w:eastAsia="Arial" w:cs="Arial" w:asciiTheme="majorHAnsi" w:hAnsiTheme="majorHAnsi"/>
        </w:rPr>
      </w:pP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  <w:b/>
        </w:rPr>
        <w:t>Objetivo</w:t>
      </w:r>
      <w:r>
        <w:rPr>
          <w:rFonts w:eastAsia="Arial" w:cs="Arial" w:asciiTheme="majorHAnsi" w:hAnsiTheme="majorHAnsi"/>
        </w:rPr>
        <w:t>: descrição do que se quer alcançar.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  <w:b/>
        </w:rPr>
        <w:t>Ação</w:t>
      </w:r>
      <w:r>
        <w:rPr>
          <w:rFonts w:eastAsia="Arial" w:cs="Arial" w:asciiTheme="majorHAnsi" w:hAnsiTheme="majorHAnsi"/>
        </w:rPr>
        <w:t>: atividade a ser realizada visando o alcance do objetivo.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  <w:b/>
        </w:rPr>
        <w:t>Indicador</w:t>
      </w:r>
      <w:r>
        <w:rPr>
          <w:rFonts w:eastAsia="Arial" w:cs="Arial" w:asciiTheme="majorHAnsi" w:hAnsiTheme="majorHAnsi"/>
        </w:rPr>
        <w:t>: ferramenta ou instrumento utilizado para a obtenção de informações sobre o andamento da ação.</w:t>
      </w:r>
    </w:p>
    <w:p>
      <w:pPr>
        <w:spacing w:after="0"/>
        <w:jc w:val="both"/>
        <w:rPr>
          <w:rFonts w:eastAsia="Arial" w:cs="Arial" w:asciiTheme="majorHAnsi" w:hAnsiTheme="majorHAnsi"/>
        </w:rPr>
      </w:pPr>
      <w:r>
        <w:rPr>
          <w:rFonts w:eastAsia="Arial" w:cs="Arial" w:asciiTheme="majorHAnsi" w:hAnsiTheme="majorHAnsi"/>
          <w:b/>
        </w:rPr>
        <w:t>Meta</w:t>
      </w:r>
      <w:r>
        <w:rPr>
          <w:rFonts w:eastAsia="Arial" w:cs="Arial" w:asciiTheme="majorHAnsi" w:hAnsiTheme="majorHAnsi"/>
        </w:rPr>
        <w:t>: resultado quantitativo a ser atingido, com previsão temporal.</w:t>
      </w:r>
      <w:bookmarkStart w:id="0" w:name="_gjdgxs" w:colFirst="0" w:colLast="0"/>
      <w:bookmarkEnd w:id="0"/>
    </w:p>
    <w:sectPr>
      <w:pgSz w:w="11906" w:h="16838"/>
      <w:pgMar w:top="1134" w:right="1134" w:bottom="1134" w:left="1134" w:header="708" w:footer="708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728B"/>
    <w:rsid w:val="00032B91"/>
    <w:rsid w:val="00217199"/>
    <w:rsid w:val="0032599A"/>
    <w:rsid w:val="0058495C"/>
    <w:rsid w:val="0060511A"/>
    <w:rsid w:val="0091421C"/>
    <w:rsid w:val="00B3004E"/>
    <w:rsid w:val="00B9492E"/>
    <w:rsid w:val="00C9728B"/>
    <w:rsid w:val="00E81830"/>
    <w:rsid w:val="1C6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pPr>
      <w:spacing w:after="0" w:line="240" w:lineRule="auto"/>
    </w:pPr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1746</Characters>
  <Lines>14</Lines>
  <Paragraphs>4</Paragraphs>
  <TotalTime>0</TotalTime>
  <ScaleCrop>false</ScaleCrop>
  <LinksUpToDate>false</LinksUpToDate>
  <CharactersWithSpaces>2065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2018-09-25T21:39:00Z</dcterms:created>
  <dc:creator>user</dc:creator>
  <cp:lastModifiedBy>user</cp:lastModifiedBy>
  <dcterms:modified xsi:type="dcterms:W3CDTF">2018-10-16T18:19:00Z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