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-83820</wp:posOffset>
            </wp:positionV>
            <wp:extent cx="952500" cy="955040"/>
            <wp:effectExtent l="0" t="0" r="0" b="0"/>
            <wp:wrapSquare wrapText="bothSides"/>
            <wp:docPr id="1" name="Imagem 2" descr="grafismo pref v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grafismo pref ver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UNIVERSIDADE FEDERAL DE SÃO JOÃO DEL-REI - UFSJ</w:t>
      </w:r>
    </w:p>
    <w:p>
      <w:pPr>
        <w:jc w:val="both"/>
        <w:rPr>
          <w:b/>
          <w:bCs/>
        </w:rPr>
      </w:pPr>
      <w:r>
        <w:rPr>
          <w:b/>
          <w:bCs/>
        </w:rPr>
        <w:t>PRÓ-REITORIA DE GESTÃO E DESENVOLVIMENTO DE PESSOAS</w:t>
      </w:r>
    </w:p>
    <w:p/>
    <w:p/>
    <w:tbl>
      <w:tblPr>
        <w:tblStyle w:val="4"/>
        <w:tblW w:w="10560" w:type="dxa"/>
        <w:tblInd w:w="12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45"/>
        <w:gridCol w:w="13"/>
        <w:gridCol w:w="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504D"/>
            <w:vAlign w:val="center"/>
          </w:tcPr>
          <w:p>
            <w:pPr>
              <w:pStyle w:val="14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2" w:lineRule="exact"/>
              <w:ind w:left="44" w:right="113" w:firstLine="0"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0"/>
                <w:shd w:val="clear" w:fill="auto"/>
              </w:rPr>
              <w:t xml:space="preserve">SOLICITAÇÃO DE ABERTURA DE </w:t>
            </w:r>
            <w:r>
              <w:rPr>
                <w:b/>
                <w:bCs/>
                <w:color w:val="FFFFFF"/>
                <w:kern w:val="0"/>
                <w:shd w:val="clear" w:fill="auto"/>
                <w:lang w:val="pt-BR"/>
              </w:rPr>
              <w:t>PROCESSO SELETIVO SIMPLIFICADO PARA CONTRATAÇÃO DE PROFESSOR SUBSTITUTO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keepNext w:val="0"/>
              <w:keepLines w:val="0"/>
              <w:widowControl w:val="0"/>
              <w:overflowPunct w:val="0"/>
              <w:bidi w:val="0"/>
              <w:snapToGrid/>
              <w:spacing w:line="275" w:lineRule="exact"/>
              <w:ind w:left="113" w:right="44" w:firstLine="0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À Pró-reitoria de Gestão e Desenvolvimento de Pessoas, por meio do Setor de Concursos e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Procedimentos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Admissionais, solicitamos publicação do Edital de abertura de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>Processo Seletivo Simplificado,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conforme segue abaixo: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pStyle w:val="14"/>
              <w:widowControl w:val="0"/>
              <w:spacing w:line="256" w:lineRule="exact"/>
              <w:ind w:left="1207" w:right="11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shd w:val="clear" w:fill="auto"/>
              </w:rPr>
              <w:t>Requerente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ind w:left="0" w:righ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Unidade Acadêmica: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</w:tcPr>
          <w:p>
            <w:pPr>
              <w:pStyle w:val="14"/>
              <w:widowControl w:val="0"/>
              <w:spacing w:line="256" w:lineRule="exact"/>
              <w:ind w:left="1207" w:right="11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Origem da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V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aga</w:t>
            </w:r>
          </w:p>
          <w:p>
            <w:pPr>
              <w:pStyle w:val="14"/>
              <w:widowControl w:val="0"/>
              <w:spacing w:line="256" w:lineRule="exact"/>
              <w:ind w:left="1207" w:right="11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kern w:val="0"/>
                <w:sz w:val="22"/>
                <w:szCs w:val="22"/>
                <w:lang w:val="pt-BR"/>
              </w:rPr>
              <w:t>(anexar a Portaria do(a) professor(a) a ser substituído(a), que originou a vaga)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Professor(a) a ser substituído(a):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after="0" w:line="276" w:lineRule="auto"/>
              <w:ind w:left="69" w:right="221" w:firstLine="0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Vacância do cargo em virtude</w:t>
            </w:r>
            <w:r>
              <w:rPr>
                <w:rFonts w:ascii="Calibri" w:hAnsi="Calibri" w:cs="Calibri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de:</w:t>
            </w:r>
          </w:p>
          <w:p>
            <w:pPr>
              <w:pStyle w:val="14"/>
              <w:widowControl w:val="0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after="0" w:line="276" w:lineRule="auto"/>
              <w:ind w:left="69" w:right="221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aposentadoria</w:t>
            </w:r>
          </w:p>
          <w:p>
            <w:pPr>
              <w:pStyle w:val="14"/>
              <w:widowControl w:val="0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after="0" w:line="276" w:lineRule="auto"/>
              <w:ind w:left="69" w:right="221" w:firstLine="0"/>
              <w:rPr>
                <w:rFonts w:ascii="Calibri" w:hAnsi="Calibri" w:cs="Calibri"/>
                <w:color w:val="000000"/>
                <w:spacing w:val="6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exoneração</w:t>
            </w:r>
          </w:p>
          <w:p>
            <w:pPr>
              <w:pStyle w:val="14"/>
              <w:widowControl w:val="0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after="0" w:line="276" w:lineRule="auto"/>
              <w:ind w:left="69" w:right="221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3"/>
                <w:kern w:val="0"/>
                <w:sz w:val="22"/>
                <w:szCs w:val="22"/>
              </w:rPr>
              <w:t>demissão</w:t>
            </w:r>
          </w:p>
          <w:p>
            <w:pPr>
              <w:pStyle w:val="14"/>
              <w:widowControl w:val="0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after="0" w:line="276" w:lineRule="auto"/>
              <w:ind w:left="69" w:right="221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 posse em</w:t>
            </w:r>
            <w:r>
              <w:rPr>
                <w:rFonts w:ascii="Calibri" w:hAnsi="Calibri" w:cs="Calibri"/>
                <w:color w:val="000000"/>
                <w:spacing w:val="-11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cargo acumulável</w:t>
            </w:r>
          </w:p>
          <w:p>
            <w:pPr>
              <w:pStyle w:val="14"/>
              <w:widowControl w:val="0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after="0" w:line="276" w:lineRule="auto"/>
              <w:ind w:left="69" w:right="221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falecimento</w:t>
            </w:r>
          </w:p>
          <w:p>
            <w:pPr>
              <w:pStyle w:val="14"/>
              <w:widowControl w:val="0"/>
              <w:tabs>
                <w:tab w:val="left" w:pos="749"/>
              </w:tabs>
              <w:spacing w:before="4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nomeação para Reitor/Pró-Reitor/direção de Campus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Licenças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e afastamentos previstos na Lei nº 8.112/90: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licença por motivo de afastamento do cônjuge – Art. 84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licença para o serviço militar – Art. 85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licença para tratar de interesses particulares – Art. 91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  ) licença para desempenho de mandato classista – Art. 92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(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afastamento para servir outro órgão ou entidade – Art. 93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) afastamento para exercício de mandato eletivo – Art. 94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(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afastamento para estudo ou missão no exterior – Art. 95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(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afastamento para ser em organismo internacional de que o Brasil participe ou com o qual coopere – Art. 96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) afastamento para participação em Programa de Pós-graduação Stricto Sensu no País –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Art. 96-A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licença para tratamento de saúde superior a 60 (sessenta) dias – Art. 202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</w:tabs>
              <w:overflowPunct w:val="0"/>
              <w:bidi w:val="0"/>
              <w:snapToGrid/>
              <w:spacing w:before="0" w:after="0"/>
              <w:ind w:left="113" w:right="44" w:firstLine="0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 licença à gestante – Art. 207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</w:tcPr>
          <w:p>
            <w:pPr>
              <w:pStyle w:val="14"/>
              <w:widowControl w:val="0"/>
              <w:ind w:left="1137" w:right="0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Área,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R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egime de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T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rabalho,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N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úmero de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V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agas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 xml:space="preserve"> e Requisito Básico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spacing w:line="275" w:lineRule="exact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Área d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o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Processo Seletivo Simplificado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</w:rPr>
              <w:t>(a área deverá estar de acordo com a classificação da CAPES):</w:t>
            </w:r>
          </w:p>
          <w:p>
            <w:pPr>
              <w:pStyle w:val="14"/>
              <w:widowControl w:val="0"/>
              <w:spacing w:line="275" w:lineRule="exact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  <w:p>
            <w:pPr>
              <w:pStyle w:val="14"/>
              <w:widowControl w:val="0"/>
              <w:spacing w:line="257" w:lineRule="exact"/>
              <w:ind w:left="0" w:righ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spacing w:line="274" w:lineRule="exac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agas: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01" w:hRule="atLeast"/>
        </w:trPr>
        <w:tc>
          <w:tcPr>
            <w:tcW w:w="10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4"/>
              <w:widowControl w:val="0"/>
              <w:spacing w:before="1" w:after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Titulação Exigida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/área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(em nível de pós-graduação, deverá estar de acordo com a classificação da CAPES)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:</w:t>
            </w:r>
          </w:p>
          <w:p>
            <w:pPr>
              <w:pStyle w:val="14"/>
              <w:widowControl w:val="0"/>
              <w:tabs>
                <w:tab w:val="left" w:pos="749"/>
                <w:tab w:val="left" w:pos="3149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Doutorado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>/área:</w:t>
            </w:r>
          </w:p>
          <w:p>
            <w:pPr>
              <w:pStyle w:val="14"/>
              <w:widowControl w:val="0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left="69" w:right="1809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Mestrado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>/área:</w:t>
            </w:r>
          </w:p>
          <w:p>
            <w:pPr>
              <w:pStyle w:val="14"/>
              <w:widowControl w:val="0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left="69" w:right="1809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Especialização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>/área:</w:t>
            </w:r>
          </w:p>
          <w:p>
            <w:pPr>
              <w:pStyle w:val="14"/>
              <w:widowControl w:val="0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left="69" w:right="1809" w:firstLine="0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 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3"/>
                <w:kern w:val="0"/>
                <w:sz w:val="22"/>
                <w:szCs w:val="22"/>
              </w:rPr>
              <w:t>Graduação</w:t>
            </w:r>
            <w:r>
              <w:rPr>
                <w:rFonts w:ascii="Calibri" w:hAnsi="Calibri" w:cs="Calibri"/>
                <w:color w:val="000000"/>
                <w:spacing w:val="-3"/>
                <w:kern w:val="0"/>
                <w:sz w:val="22"/>
                <w:szCs w:val="22"/>
                <w:lang w:val="pt-BR"/>
              </w:rPr>
              <w:t>/área:</w:t>
            </w:r>
          </w:p>
        </w:tc>
        <w:tc>
          <w:tcPr>
            <w:tcW w:w="13" w:type="dxa"/>
          </w:tcPr>
          <w:p>
            <w:pPr>
              <w:widowControl w:val="0"/>
              <w:rPr>
                <w:kern w:val="0"/>
              </w:rPr>
            </w:pP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</w:tcPr>
          <w:p>
            <w:pPr>
              <w:pStyle w:val="14"/>
              <w:widowControl w:val="0"/>
              <w:ind w:left="1234" w:right="11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Período e local de inscrição, data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s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das provas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spacing w:line="275" w:lineRule="exact"/>
              <w:ind w:left="0" w:right="0" w:firstLin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ndereço completo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 xml:space="preserve"> da unidade (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com número da sala e telefone para contato):</w:t>
            </w:r>
          </w:p>
          <w:p>
            <w:pPr>
              <w:pStyle w:val="14"/>
              <w:widowControl w:val="0"/>
              <w:spacing w:line="275" w:lineRule="exac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>
            <w:pPr>
              <w:pStyle w:val="14"/>
              <w:widowControl w:val="0"/>
              <w:spacing w:line="275" w:lineRule="exact"/>
              <w:ind w:left="0" w:righ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spacing w:line="275" w:lineRule="exact"/>
              <w:ind w:left="0" w:right="0" w:firstLine="0"/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E-mail para recebimento das inscrições: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2150"/>
              </w:tabs>
              <w:spacing w:before="6" w:after="0" w:line="274" w:lineRule="exact"/>
              <w:ind w:left="0" w:right="221" w:firstLine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Período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 xml:space="preserve">de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inscri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ção</w:t>
            </w:r>
            <w:r>
              <w:rPr>
                <w:rFonts w:ascii="Calibri" w:hAnsi="Calibri" w:cs="Calibri"/>
                <w:b w:val="0"/>
                <w:bCs/>
                <w:color w:val="000000"/>
                <w:kern w:val="0"/>
                <w:sz w:val="22"/>
                <w:szCs w:val="22"/>
                <w:lang w:val="pt-BR"/>
              </w:rPr>
              <w:t xml:space="preserve"> (mínimo de 10 dias úteis)</w:t>
            </w:r>
            <w:r>
              <w:rPr>
                <w:rFonts w:ascii="Calibri" w:hAnsi="Calibri" w:cs="Calibri"/>
                <w:b/>
                <w:bCs w:val="0"/>
                <w:color w:val="000000"/>
                <w:kern w:val="0"/>
                <w:sz w:val="22"/>
                <w:szCs w:val="22"/>
                <w:lang w:val="pt-BR"/>
              </w:rPr>
              <w:t xml:space="preserve"> e</w:t>
            </w:r>
            <w:r>
              <w:rPr>
                <w:rFonts w:ascii="Calibri" w:hAnsi="Calibri" w:cs="Calibri"/>
                <w:b/>
                <w:bCs w:val="0"/>
                <w:color w:val="000000"/>
                <w:kern w:val="0"/>
                <w:sz w:val="22"/>
                <w:szCs w:val="22"/>
              </w:rPr>
              <w:t xml:space="preserve"> horário para recebimento:</w:t>
            </w:r>
          </w:p>
          <w:p>
            <w:pPr>
              <w:pStyle w:val="14"/>
              <w:widowControl w:val="0"/>
              <w:tabs>
                <w:tab w:val="left" w:pos="2150"/>
              </w:tabs>
              <w:spacing w:before="6" w:after="0" w:line="274" w:lineRule="exact"/>
              <w:ind w:left="69" w:right="221" w:firstLine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>
            <w:pPr>
              <w:pStyle w:val="14"/>
              <w:widowControl w:val="0"/>
              <w:tabs>
                <w:tab w:val="left" w:pos="2150"/>
              </w:tabs>
              <w:spacing w:before="6" w:after="0" w:line="274" w:lineRule="exact"/>
              <w:ind w:left="0" w:right="221" w:firstLine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pStyle w:val="14"/>
              <w:widowControl w:val="0"/>
              <w:spacing w:line="256" w:lineRule="exact"/>
              <w:ind w:left="1215" w:right="11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Etapas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do Concurso Público</w:t>
            </w:r>
          </w:p>
          <w:p>
            <w:pPr>
              <w:pStyle w:val="14"/>
              <w:widowControl w:val="0"/>
              <w:spacing w:line="256" w:lineRule="exact"/>
              <w:ind w:left="1215" w:right="11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kern w:val="0"/>
                <w:sz w:val="22"/>
                <w:szCs w:val="22"/>
                <w:lang w:val="pt-BR"/>
              </w:rPr>
              <w:t>(a serem realizadas na sequência abaixo)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749"/>
                <w:tab w:val="left" w:pos="9933"/>
              </w:tabs>
              <w:overflowPunct w:val="0"/>
              <w:bidi w:val="0"/>
              <w:snapToGrid/>
              <w:spacing w:before="0" w:after="0" w:line="235" w:lineRule="auto"/>
              <w:ind w:left="44" w:right="113" w:firstLine="0"/>
              <w:textAlignment w:val="auto"/>
              <w:rPr>
                <w:rFonts w:ascii="Calibri" w:hAnsi="Calibri" w:cs="Calibri"/>
                <w:color w:val="000000"/>
                <w:spacing w:val="-5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Prova Escrita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</w:rPr>
              <w:t>– 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lang w:val="pt-BR"/>
              </w:rPr>
              <w:t>pcional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lang w:val="pt-BR"/>
              </w:rPr>
              <w:t xml:space="preserve"> e Eliminatória.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  <w:lang w:val="pt-BR"/>
              </w:rPr>
              <w:t>H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averá esta</w:t>
            </w:r>
            <w:r>
              <w:rPr>
                <w:rFonts w:ascii="Calibri" w:hAnsi="Calibri" w:cs="Calibri"/>
                <w:b/>
                <w:i/>
                <w:color w:val="000000"/>
                <w:spacing w:val="-2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fase?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)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Sim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5"/>
                <w:kern w:val="0"/>
                <w:sz w:val="22"/>
                <w:szCs w:val="22"/>
              </w:rPr>
              <w:t>Não</w:t>
            </w:r>
          </w:p>
          <w:p>
            <w:pPr>
              <w:pStyle w:val="14"/>
              <w:keepNext w:val="0"/>
              <w:keepLines w:val="0"/>
              <w:widowControl w:val="0"/>
              <w:numPr>
                <w:numId w:val="0"/>
              </w:numPr>
              <w:tabs>
                <w:tab w:val="left" w:pos="749"/>
                <w:tab w:val="left" w:pos="9933"/>
              </w:tabs>
              <w:overflowPunct w:val="0"/>
              <w:bidi w:val="0"/>
              <w:snapToGrid/>
              <w:spacing w:before="0" w:after="0" w:line="235" w:lineRule="auto"/>
              <w:ind w:left="44" w:leftChars="0" w:right="113" w:rightChars="0"/>
              <w:textAlignment w:val="auto"/>
              <w:rPr>
                <w:rFonts w:ascii="Calibri" w:hAnsi="Calibri" w:cs="Calibri"/>
                <w:color w:val="000000"/>
                <w:spacing w:val="-5"/>
                <w:kern w:val="0"/>
                <w:sz w:val="22"/>
                <w:szCs w:val="22"/>
                <w:lang w:val="pt-BR"/>
              </w:rPr>
            </w:pPr>
            <w:bookmarkStart w:id="0" w:name="_GoBack"/>
            <w:bookmarkEnd w:id="0"/>
          </w:p>
          <w:p>
            <w:pPr>
              <w:pStyle w:val="14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44" w:right="113" w:firstLine="0"/>
              <w:jc w:val="both"/>
              <w:textAlignment w:val="auto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A Unidade Acadêmica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d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eve se atentar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à data de divulgação do resultado da prova e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ao período de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interposição de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recurso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e prazo para a  banca responder ao recurso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. O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prazo para a interposição de recurso é de 1 dia útil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após a divulgação das notas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pelo SECOP. A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próxima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etapa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não pode ser iniciada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>antes da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 divulgação do resultado do recurso.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749"/>
                <w:tab w:val="left" w:pos="9933"/>
              </w:tabs>
              <w:overflowPunct w:val="0"/>
              <w:bidi w:val="0"/>
              <w:snapToGrid/>
              <w:spacing w:before="0" w:after="0" w:line="235" w:lineRule="auto"/>
              <w:ind w:left="44" w:right="113" w:firstLine="0"/>
              <w:textAlignment w:val="auto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pt-BR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>Prova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pacing w:val="3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>Didática</w:t>
            </w:r>
            <w:r>
              <w:rPr>
                <w:rFonts w:ascii="Calibri" w:hAnsi="Calibri" w:cs="Calibri"/>
                <w:i w:val="0"/>
                <w:iCs w:val="0"/>
                <w:color w:val="000000"/>
                <w:spacing w:val="33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i w:val="0"/>
                <w:iCs w:val="0"/>
                <w:color w:val="000000"/>
                <w:spacing w:val="3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lang w:val="pt-BR"/>
              </w:rPr>
              <w:t xml:space="preserve">pcional e Eliminatória. 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  <w:lang w:val="pt-BR"/>
              </w:rPr>
              <w:t>H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averá esta</w:t>
            </w:r>
            <w:r>
              <w:rPr>
                <w:rFonts w:ascii="Calibri" w:hAnsi="Calibri" w:cs="Calibri"/>
                <w:b/>
                <w:i/>
                <w:color w:val="000000"/>
                <w:spacing w:val="-2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fase?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)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Sim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5"/>
                <w:kern w:val="0"/>
                <w:sz w:val="22"/>
                <w:szCs w:val="22"/>
              </w:rPr>
              <w:t>Não</w:t>
            </w: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  <w:tab w:val="left" w:pos="9933"/>
              </w:tabs>
              <w:overflowPunct w:val="0"/>
              <w:bidi w:val="0"/>
              <w:snapToGrid/>
              <w:spacing w:before="0" w:after="0" w:line="235" w:lineRule="auto"/>
              <w:ind w:left="44" w:right="113" w:firstLine="0"/>
              <w:jc w:val="both"/>
              <w:textAlignment w:val="auto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  <w:p>
            <w:pPr>
              <w:pStyle w:val="14"/>
              <w:keepNext w:val="0"/>
              <w:keepLines w:val="0"/>
              <w:widowControl w:val="0"/>
              <w:tabs>
                <w:tab w:val="left" w:pos="749"/>
                <w:tab w:val="left" w:pos="9933"/>
              </w:tabs>
              <w:overflowPunct w:val="0"/>
              <w:bidi w:val="0"/>
              <w:snapToGrid/>
              <w:spacing w:before="0" w:after="0" w:line="235" w:lineRule="auto"/>
              <w:ind w:left="44" w:right="113" w:firstLine="0"/>
              <w:jc w:val="both"/>
              <w:textAlignment w:val="auto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A Unidade Acadêmica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d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eve se atentar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à data de divulgação do resultado da prova e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ao período de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interposição de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recurso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e prazo para a  banca responder ao recurso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. O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prazo para a interposição de recurso é de 1 dia útil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após a divulgação das notas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pelo SECOP. A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próxima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>etapa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não pode ser iniciada 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</w:rPr>
              <w:t>antes da</w:t>
            </w:r>
            <w:r>
              <w:rPr>
                <w:rFonts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lang w:val="pt-BR"/>
              </w:rPr>
              <w:t xml:space="preserve"> divulgação do resultado do recurso.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749"/>
                <w:tab w:val="left" w:pos="9933"/>
              </w:tabs>
              <w:overflowPunct w:val="0"/>
              <w:bidi w:val="0"/>
              <w:snapToGrid/>
              <w:spacing w:before="0" w:after="0" w:line="235" w:lineRule="auto"/>
              <w:ind w:left="44" w:right="113" w:firstLin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 xml:space="preserve">3.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Prova de Títulos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– O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pcional e Classificatória. 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  <w:lang w:val="pt-BR"/>
              </w:rPr>
              <w:t>H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averá esta</w:t>
            </w:r>
            <w:r>
              <w:rPr>
                <w:rFonts w:ascii="Calibri" w:hAnsi="Calibri" w:cs="Calibri"/>
                <w:b/>
                <w:i/>
                <w:color w:val="000000"/>
                <w:spacing w:val="-2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fase?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)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Sim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000000"/>
                <w:spacing w:val="-5"/>
                <w:kern w:val="0"/>
                <w:sz w:val="22"/>
                <w:szCs w:val="22"/>
              </w:rPr>
              <w:t>Não</w:t>
            </w:r>
          </w:p>
          <w:p>
            <w:pPr>
              <w:pStyle w:val="14"/>
              <w:keepNext w:val="0"/>
              <w:keepLines w:val="0"/>
              <w:widowControl w:val="0"/>
              <w:numPr>
                <w:ilvl w:val="0"/>
                <w:numId w:val="0"/>
              </w:numPr>
              <w:overflowPunct w:val="0"/>
              <w:bidi w:val="0"/>
              <w:snapToGrid/>
              <w:spacing w:before="0" w:after="0"/>
              <w:ind w:left="0" w:right="113" w:firstLine="0"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14"/>
              <w:keepNext w:val="0"/>
              <w:keepLines w:val="0"/>
              <w:widowControl w:val="0"/>
              <w:numPr>
                <w:ilvl w:val="0"/>
                <w:numId w:val="0"/>
              </w:numPr>
              <w:overflowPunct w:val="0"/>
              <w:bidi w:val="0"/>
              <w:snapToGrid/>
              <w:spacing w:before="0" w:after="0"/>
              <w:ind w:left="0" w:right="113" w:firstLine="0"/>
              <w:jc w:val="both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18"/>
                <w:lang w:val="pt-BR"/>
              </w:rPr>
              <w:t xml:space="preserve">De acordo com o art. 30, parágrafo único do Decreto nº 9.739/2019, quando houver prova de títulos, ela será realizada como etapa posterior à prova escrita e </w:t>
            </w:r>
            <w:r>
              <w:rPr>
                <w:rFonts w:ascii="Calibri" w:hAnsi="Calibri"/>
                <w:b w:val="0"/>
                <w:bCs w:val="0"/>
                <w:color w:val="000000"/>
                <w:kern w:val="0"/>
                <w:sz w:val="18"/>
                <w:szCs w:val="18"/>
                <w:u w:val="single"/>
                <w:lang w:val="pt-BR"/>
              </w:rPr>
              <w:t>somente apresentarão os títulos os candidatos aprovados nas etapas anteriores.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6444"/>
                <w:tab w:val="left" w:pos="7749"/>
                <w:tab w:val="left" w:pos="7939"/>
                <w:tab w:val="left" w:pos="9245"/>
              </w:tabs>
              <w:overflowPunct w:val="0"/>
              <w:bidi w:val="0"/>
              <w:snapToGrid/>
              <w:spacing w:before="0" w:after="0" w:line="446" w:lineRule="auto"/>
              <w:ind w:left="44" w:right="113" w:firstLin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Prova Prática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>O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pcional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/>
              </w:rPr>
              <w:t xml:space="preserve">e Classificatória.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pt-BR"/>
              </w:rPr>
              <w:t>H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verá esta</w:t>
            </w:r>
            <w:r>
              <w:rPr>
                <w:rFonts w:ascii="Calibri" w:hAnsi="Calibri" w:cs="Calibri"/>
                <w:b/>
                <w:i/>
                <w:color w:val="000000"/>
                <w:spacing w:val="-17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fase?</w:t>
            </w:r>
            <w:r>
              <w:rPr>
                <w:rFonts w:ascii="Calibri" w:hAnsi="Calibri" w:cs="Calibri"/>
                <w:b/>
                <w:i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spacing w:val="-2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iCs/>
                <w:color w:val="000000"/>
                <w:spacing w:val="-2"/>
                <w:kern w:val="0"/>
                <w:sz w:val="22"/>
                <w:szCs w:val="22"/>
                <w:lang w:val="pt-BR"/>
              </w:rPr>
              <w:t>(</w:t>
            </w:r>
            <w:r>
              <w:rPr>
                <w:rFonts w:ascii="Calibri" w:hAnsi="Calibri" w:cs="Calibri"/>
                <w:b w:val="0"/>
                <w:bCs/>
                <w:i w:val="0"/>
                <w:iCs/>
                <w:color w:val="000000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Calibri" w:hAnsi="Calibri" w:cs="Calibri"/>
                <w:b w:val="0"/>
                <w:bCs/>
                <w:i w:val="0"/>
                <w:iCs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Sim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2"/>
                <w:szCs w:val="22"/>
                <w:lang w:val="pt-BR"/>
              </w:rPr>
              <w:t xml:space="preserve"> (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Não</w:t>
            </w:r>
          </w:p>
          <w:p>
            <w:pPr>
              <w:pStyle w:val="14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0" w:right="113" w:firstLine="0"/>
              <w:jc w:val="both"/>
              <w:textAlignment w:val="auto"/>
              <w:rPr>
                <w:rFonts w:ascii="Calibri" w:hAnsi="Calibri" w:cs="Calibri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  <w:kern w:val="0"/>
                <w:sz w:val="18"/>
                <w:szCs w:val="18"/>
              </w:rPr>
              <w:t>De acordo com a alínea “e”, inciso I do art. 8º da Resolução nº 010/2015 do CONSU, quando a Unidade Acadêmica optar por realização de prova prática, deverá estabelecer os materiais e técnicas a serem utilizados. As descrições deverão ser enviadas em documento anexo elaborado pela unidade acadêmica</w:t>
            </w:r>
            <w:r>
              <w:rPr>
                <w:rFonts w:ascii="Calibri" w:hAnsi="Calibri" w:cs="Calibri"/>
                <w:i w:val="0"/>
                <w:iCs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iCs/>
                <w:color w:val="000000"/>
                <w:kern w:val="0"/>
                <w:sz w:val="18"/>
                <w:szCs w:val="18"/>
              </w:rPr>
              <w:t>solicitante.</w:t>
            </w:r>
          </w:p>
          <w:p>
            <w:pPr>
              <w:pStyle w:val="14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0" w:right="113" w:firstLine="0"/>
              <w:jc w:val="both"/>
              <w:textAlignment w:val="auto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pStyle w:val="14"/>
              <w:keepNext w:val="0"/>
              <w:keepLines w:val="0"/>
              <w:widowControl w:val="0"/>
              <w:overflowPunct w:val="0"/>
              <w:bidi w:val="0"/>
              <w:snapToGrid/>
              <w:spacing w:line="254" w:lineRule="exact"/>
              <w:ind w:left="0" w:right="0" w:firstLin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Cronograma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 xml:space="preserve"> do Processo Seletivo Simplificado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tbl>
            <w:tblPr>
              <w:tblStyle w:val="4"/>
              <w:tblW w:w="1055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1476"/>
              <w:gridCol w:w="4062"/>
              <w:gridCol w:w="37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eastAsia="SimSun" w:cs="Calibri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14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eastAsia="SimSun" w:cs="Calibri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Horário</w:t>
                  </w:r>
                </w:p>
              </w:tc>
              <w:tc>
                <w:tcPr>
                  <w:tcW w:w="4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eastAsia="SimSun" w:cs="Calibri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3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eastAsia="SimSun" w:cs="Calibri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Local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14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4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pt-BR"/>
                    </w:rPr>
                    <w:t>Prova Escrita</w:t>
                  </w:r>
                </w:p>
              </w:tc>
              <w:tc>
                <w:tcPr>
                  <w:tcW w:w="3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14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4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pt-BR"/>
                    </w:rPr>
                    <w:t>Prova Didática</w:t>
                  </w:r>
                </w:p>
              </w:tc>
              <w:tc>
                <w:tcPr>
                  <w:tcW w:w="3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14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4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pt-BR"/>
                    </w:rPr>
                    <w:t>Prova de Títulos (entrega dos documentos comprobatórios do Currículo Lattes)</w:t>
                  </w:r>
                </w:p>
              </w:tc>
              <w:tc>
                <w:tcPr>
                  <w:tcW w:w="3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14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4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pt-BR"/>
                    </w:rPr>
                    <w:t>Prova Prática</w:t>
                  </w:r>
                </w:p>
              </w:tc>
              <w:tc>
                <w:tcPr>
                  <w:tcW w:w="3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ascii="Calibri" w:hAnsi="Calibri" w:cs="Calibri"/>
                      <w:color w:val="000000"/>
                      <w:position w:val="0"/>
                      <w:sz w:val="22"/>
                      <w:szCs w:val="22"/>
                      <w:vertAlign w:val="baseline"/>
                    </w:rPr>
                  </w:pPr>
                </w:p>
              </w:tc>
            </w:tr>
          </w:tbl>
          <w:p>
            <w:pPr>
              <w:pStyle w:val="14"/>
              <w:widowControl w:val="0"/>
              <w:spacing w:line="254" w:lineRule="exact"/>
              <w:ind w:left="2134" w:right="20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pStyle w:val="14"/>
              <w:widowControl w:val="0"/>
              <w:spacing w:line="254" w:lineRule="exact"/>
              <w:ind w:left="0" w:right="2093" w:firstLine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Lista de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>Temas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para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pt-BR"/>
              </w:rPr>
              <w:t>as P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rovas</w:t>
            </w:r>
          </w:p>
          <w:p>
            <w:pPr>
              <w:pStyle w:val="14"/>
              <w:widowControl w:val="0"/>
              <w:spacing w:line="254" w:lineRule="exact"/>
              <w:ind w:left="0" w:right="2093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pt-BR"/>
              </w:rPr>
              <w:t xml:space="preserve">          </w:t>
            </w: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(no máximo 10</w:t>
            </w: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pt-BR"/>
              </w:rPr>
              <w:t xml:space="preserve"> temas. Itens que constarão no sorteio</w:t>
            </w: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1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5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4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5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4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5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4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5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4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4"/>
              <w:widowControl w:val="0"/>
              <w:tabs>
                <w:tab w:val="left" w:pos="1377"/>
              </w:tabs>
              <w:spacing w:before="65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</w:tcPr>
          <w:p>
            <w:pPr>
              <w:pStyle w:val="14"/>
              <w:widowControl w:val="0"/>
              <w:spacing w:before="1" w:after="0" w:line="255" w:lineRule="exac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Anexar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B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ibliografia. No caso de bibliografia livre não é necessário nenhum procedimento.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</w:trPr>
        <w:tc>
          <w:tcPr>
            <w:tcW w:w="10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vAlign w:val="center"/>
          </w:tcPr>
          <w:p>
            <w:pPr>
              <w:pStyle w:val="14"/>
              <w:keepNext w:val="0"/>
              <w:keepLines w:val="0"/>
              <w:widowControl w:val="0"/>
              <w:overflowPunct w:val="0"/>
              <w:bidi w:val="0"/>
              <w:snapToGrid/>
              <w:spacing w:line="256" w:lineRule="exact"/>
              <w:ind w:left="69" w:right="44" w:firstLine="0"/>
              <w:jc w:val="both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Anexar as tabelas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com os critérios de avaliação e pontuação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referente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s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a cada prova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pt-BR"/>
              </w:rPr>
              <w:t>,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u w:val="single"/>
              </w:rPr>
              <w:t>em formato .doc</w:t>
            </w: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u w:val="single"/>
                <w:lang w:val="pt-BR"/>
              </w:rPr>
              <w:t>.</w:t>
            </w:r>
          </w:p>
        </w:tc>
        <w:tc>
          <w:tcPr>
            <w:tcW w:w="2" w:type="dxa"/>
          </w:tcPr>
          <w:p>
            <w:pPr>
              <w:widowControl w:val="0"/>
              <w:rPr>
                <w:kern w:val="0"/>
              </w:rPr>
            </w:pPr>
          </w:p>
        </w:tc>
      </w:tr>
    </w:tbl>
    <w:p>
      <w:pPr>
        <w:rPr>
          <w:rFonts w:ascii="Calibri" w:hAnsi="Calibri" w:cs="Calibri"/>
          <w:sz w:val="22"/>
          <w:szCs w:val="22"/>
          <w:lang w:val="pt-BR"/>
        </w:rPr>
      </w:pPr>
    </w:p>
    <w:sectPr>
      <w:pgSz w:w="11906" w:h="16838"/>
      <w:pgMar w:top="500" w:right="720" w:bottom="720" w:left="720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20B3D4"/>
    <w:multiLevelType w:val="singleLevel"/>
    <w:tmpl w:val="C120B3D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documentProtection w:enforcement="0"/>
  <w:defaultTabStop w:val="420"/>
  <w:autoHyphenation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F4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 w:line="240" w:lineRule="auto"/>
      <w:ind w:left="0" w:right="0" w:firstLine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92" w:after="0"/>
      <w:ind w:left="961" w:right="0" w:firstLine="0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0"/>
    <w:rPr>
      <w:rFonts w:cs="Arial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Normal (Web)"/>
    <w:basedOn w:val="1"/>
    <w:qFormat/>
    <w:uiPriority w:val="0"/>
    <w:rPr>
      <w:szCs w:val="24"/>
    </w:r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3">
    <w:name w:val="Cabeçalho e Rodapé"/>
    <w:basedOn w:val="1"/>
    <w:qFormat/>
    <w:uiPriority w:val="0"/>
  </w:style>
  <w:style w:type="paragraph" w:customStyle="1" w:styleId="14">
    <w:name w:val="Table Paragraph"/>
    <w:basedOn w:val="1"/>
    <w:qFormat/>
    <w:uiPriority w:val="1"/>
    <w:pPr>
      <w:ind w:left="69" w:right="0" w:firstLine="0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3523</Characters>
  <Paragraphs>73</Paragraphs>
  <TotalTime>1</TotalTime>
  <ScaleCrop>false</ScaleCrop>
  <LinksUpToDate>false</LinksUpToDate>
  <CharactersWithSpaces>4223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2019-10-07T14:02:00Z</dcterms:created>
  <dc:creator>user</dc:creator>
  <cp:lastModifiedBy>secop</cp:lastModifiedBy>
  <dcterms:modified xsi:type="dcterms:W3CDTF">2024-03-05T13:02:09Z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AF997A53FF7A40309609CFDD359FF0AB</vt:lpwstr>
  </property>
  <property fmtid="{D5CDD505-2E9C-101B-9397-08002B2CF9AE}" pid="3" name="KSOProductBuildVer">
    <vt:lpwstr>1046-12.2.0.13489</vt:lpwstr>
  </property>
</Properties>
</file>