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33855">
      <w:pPr>
        <w:rPr>
          <w:rFonts w:hint="default"/>
          <w:lang w:val="pt-BR"/>
        </w:rPr>
      </w:pPr>
    </w:p>
    <w:p w14:paraId="2A832D3B">
      <w:pPr>
        <w:rPr>
          <w:rFonts w:hint="default"/>
          <w:b/>
          <w:bCs/>
        </w:rPr>
      </w:pPr>
    </w:p>
    <w:p w14:paraId="44861028">
      <w:pPr>
        <w:numPr>
          <w:ilvl w:val="0"/>
          <w:numId w:val="0"/>
        </w:numPr>
        <w:ind w:leftChars="0"/>
        <w:jc w:val="center"/>
        <w:rPr>
          <w:rFonts w:hint="default"/>
          <w:b/>
          <w:bCs/>
          <w:sz w:val="24"/>
          <w:szCs w:val="24"/>
          <w:lang w:val="pt-BR"/>
        </w:rPr>
      </w:pPr>
      <w:r>
        <w:rPr>
          <w:rFonts w:hint="default"/>
          <w:b/>
          <w:bCs/>
          <w:sz w:val="24"/>
          <w:szCs w:val="24"/>
        </w:rPr>
        <w:t>Confirma</w:t>
      </w:r>
      <w:r>
        <w:rPr>
          <w:rFonts w:hint="default"/>
          <w:b/>
          <w:bCs/>
          <w:sz w:val="24"/>
          <w:szCs w:val="24"/>
          <w:lang w:val="pt-BR"/>
        </w:rPr>
        <w:t xml:space="preserve">ção das datas, </w:t>
      </w:r>
      <w:r>
        <w:rPr>
          <w:rFonts w:hint="default"/>
          <w:b/>
          <w:bCs/>
          <w:sz w:val="24"/>
          <w:szCs w:val="24"/>
        </w:rPr>
        <w:t>horário e loca</w:t>
      </w:r>
      <w:r>
        <w:rPr>
          <w:rFonts w:hint="default"/>
          <w:b/>
          <w:bCs/>
          <w:sz w:val="24"/>
          <w:szCs w:val="24"/>
          <w:lang w:val="pt-BR"/>
        </w:rPr>
        <w:t>is das provas</w:t>
      </w:r>
      <w:r>
        <w:rPr>
          <w:rFonts w:hint="default"/>
          <w:b/>
          <w:bCs/>
          <w:sz w:val="24"/>
          <w:szCs w:val="24"/>
        </w:rPr>
        <w:t>:</w:t>
      </w:r>
    </w:p>
    <w:p w14:paraId="5556326D">
      <w:pPr>
        <w:rPr>
          <w:rFonts w:hint="default"/>
          <w:sz w:val="24"/>
          <w:szCs w:val="24"/>
          <w:lang w:val="pt-BR"/>
        </w:rPr>
      </w:pPr>
    </w:p>
    <w:p w14:paraId="30880CBB">
      <w:pPr>
        <w:rPr>
          <w:rFonts w:hint="default"/>
          <w:b/>
          <w:bCs/>
          <w:sz w:val="24"/>
          <w:szCs w:val="24"/>
          <w:lang w:val="pt-BR"/>
        </w:rPr>
      </w:pPr>
      <w:r>
        <w:rPr>
          <w:rFonts w:hint="default"/>
          <w:b/>
          <w:bCs/>
          <w:sz w:val="24"/>
          <w:szCs w:val="24"/>
          <w:lang w:val="pt-BR"/>
        </w:rPr>
        <w:t>CPD nº xxx/xxxx</w:t>
      </w:r>
    </w:p>
    <w:p w14:paraId="66273AC8">
      <w:pPr>
        <w:rPr>
          <w:rFonts w:hint="default"/>
          <w:sz w:val="24"/>
          <w:szCs w:val="24"/>
          <w:lang w:val="pt-BR"/>
        </w:rPr>
      </w:pPr>
    </w:p>
    <w:p w14:paraId="6152458F">
      <w:pPr>
        <w:jc w:val="both"/>
        <w:rPr>
          <w:rFonts w:hint="default"/>
          <w:sz w:val="24"/>
          <w:szCs w:val="24"/>
          <w:lang w:val="pt-BR"/>
        </w:rPr>
      </w:pPr>
      <w:r>
        <w:rPr>
          <w:rFonts w:hint="default"/>
          <w:sz w:val="24"/>
          <w:szCs w:val="24"/>
          <w:lang w:val="pt-BR"/>
        </w:rPr>
        <w:t>A unidade deve preencher as informações solicitadas na coluna em azul, respeitando os prazos mínimos informados na coluna anterior. As provas deverão ser agendadas para período estabelecido no edital, conforme disponibilidade da unidade, observando os períodos de recurso das provas eliminatórias:</w:t>
      </w:r>
    </w:p>
    <w:p w14:paraId="3D1B9225">
      <w:pPr>
        <w:rPr>
          <w:rFonts w:hint="default"/>
          <w:lang w:val="pt-BR"/>
        </w:rPr>
      </w:pPr>
    </w:p>
    <w:tbl>
      <w:tblPr>
        <w:tblStyle w:val="5"/>
        <w:tblW w:w="101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2"/>
        <w:gridCol w:w="3572"/>
        <w:gridCol w:w="3193"/>
      </w:tblGrid>
      <w:tr w14:paraId="551B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3422" w:type="dxa"/>
            <w:vAlign w:val="center"/>
          </w:tcPr>
          <w:p w14:paraId="5325AF62">
            <w:pPr>
              <w:jc w:val="center"/>
              <w:rPr>
                <w:rFonts w:hint="default"/>
                <w:b/>
                <w:bCs/>
                <w:lang w:val="pt-BR"/>
              </w:rPr>
            </w:pPr>
            <w:r>
              <w:rPr>
                <w:rFonts w:hint="default"/>
                <w:b/>
                <w:bCs/>
                <w:lang w:val="pt-BR"/>
              </w:rPr>
              <w:t>Etapas</w:t>
            </w:r>
          </w:p>
        </w:tc>
        <w:tc>
          <w:tcPr>
            <w:tcW w:w="3572" w:type="dxa"/>
            <w:vAlign w:val="center"/>
          </w:tcPr>
          <w:p w14:paraId="57ADAF82">
            <w:pPr>
              <w:jc w:val="center"/>
              <w:rPr>
                <w:rFonts w:hint="default"/>
                <w:b/>
                <w:bCs/>
                <w:lang w:val="pt-BR"/>
              </w:rPr>
            </w:pPr>
            <w:r>
              <w:rPr>
                <w:rFonts w:hint="default"/>
                <w:b/>
                <w:bCs/>
                <w:lang w:val="pt-BR"/>
              </w:rPr>
              <w:t>Prazos estabelecidos no edital</w:t>
            </w:r>
          </w:p>
        </w:tc>
        <w:tc>
          <w:tcPr>
            <w:tcW w:w="3193" w:type="dxa"/>
            <w:shd w:val="clear" w:color="auto" w:fill="DEEBF6" w:themeFill="accent1" w:themeFillTint="32"/>
            <w:vAlign w:val="center"/>
          </w:tcPr>
          <w:p w14:paraId="1CD7A1E1">
            <w:pPr>
              <w:jc w:val="center"/>
              <w:rPr>
                <w:rFonts w:hint="default"/>
                <w:b/>
                <w:bCs/>
                <w:lang w:val="pt-BR"/>
              </w:rPr>
            </w:pPr>
            <w:r>
              <w:rPr>
                <w:rFonts w:hint="default"/>
                <w:b/>
                <w:bCs/>
                <w:lang w:val="pt-BR"/>
              </w:rPr>
              <w:t>Agendamento pela unidade</w:t>
            </w:r>
          </w:p>
        </w:tc>
      </w:tr>
      <w:tr w14:paraId="0DD7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22" w:type="dxa"/>
            <w:vAlign w:val="center"/>
          </w:tcPr>
          <w:p w14:paraId="7940A373">
            <w:pPr>
              <w:rPr>
                <w:rFonts w:hint="default"/>
                <w:lang w:val="pt-BR"/>
              </w:rPr>
            </w:pPr>
            <w:r>
              <w:rPr>
                <w:rFonts w:hint="default"/>
                <w:lang w:val="pt-BR"/>
              </w:rPr>
              <w:t xml:space="preserve">Prova Escrita </w:t>
            </w:r>
          </w:p>
        </w:tc>
        <w:tc>
          <w:tcPr>
            <w:tcW w:w="3572" w:type="dxa"/>
            <w:vAlign w:val="center"/>
          </w:tcPr>
          <w:p w14:paraId="3AC7CBBB">
            <w:pPr>
              <w:rPr>
                <w:rFonts w:hint="default"/>
                <w:lang w:val="pt-BR"/>
              </w:rPr>
            </w:pPr>
          </w:p>
        </w:tc>
        <w:tc>
          <w:tcPr>
            <w:tcW w:w="3193" w:type="dxa"/>
            <w:shd w:val="clear" w:color="auto" w:fill="DEEBF6" w:themeFill="accent1" w:themeFillTint="32"/>
            <w:vAlign w:val="center"/>
          </w:tcPr>
          <w:p w14:paraId="7308F8C1">
            <w:pPr>
              <w:jc w:val="center"/>
              <w:rPr>
                <w:rFonts w:hint="default"/>
                <w:lang w:val="pt-BR"/>
              </w:rPr>
            </w:pPr>
            <w:r>
              <w:rPr>
                <w:rFonts w:hint="default"/>
                <w:lang w:val="pt-BR"/>
              </w:rPr>
              <w:t>data, horário e local</w:t>
            </w:r>
          </w:p>
        </w:tc>
      </w:tr>
      <w:tr w14:paraId="784B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422" w:type="dxa"/>
            <w:vAlign w:val="center"/>
          </w:tcPr>
          <w:p w14:paraId="551901C9">
            <w:pPr>
              <w:rPr>
                <w:rFonts w:hint="default"/>
                <w:lang w:val="pt-BR"/>
              </w:rPr>
            </w:pPr>
            <w:r>
              <w:rPr>
                <w:rFonts w:hint="default"/>
                <w:lang w:val="pt-BR"/>
              </w:rPr>
              <w:t xml:space="preserve">Resultado da prova escrita </w:t>
            </w:r>
          </w:p>
        </w:tc>
        <w:tc>
          <w:tcPr>
            <w:tcW w:w="3572" w:type="dxa"/>
            <w:vAlign w:val="center"/>
          </w:tcPr>
          <w:p w14:paraId="6200D30B">
            <w:pPr>
              <w:rPr>
                <w:rFonts w:hint="default"/>
                <w:lang w:val="pt-BR"/>
              </w:rPr>
            </w:pPr>
          </w:p>
        </w:tc>
        <w:tc>
          <w:tcPr>
            <w:tcW w:w="3193" w:type="dxa"/>
            <w:shd w:val="clear" w:color="auto" w:fill="DEEBF6" w:themeFill="accent1" w:themeFillTint="32"/>
            <w:vAlign w:val="center"/>
          </w:tcPr>
          <w:p w14:paraId="47971607">
            <w:pPr>
              <w:jc w:val="center"/>
              <w:rPr>
                <w:rFonts w:hint="default"/>
                <w:lang w:val="pt-BR"/>
              </w:rPr>
            </w:pPr>
            <w:r>
              <w:rPr>
                <w:rFonts w:hint="default"/>
                <w:lang w:val="pt-BR"/>
              </w:rPr>
              <w:t>data (previsão)*</w:t>
            </w:r>
          </w:p>
        </w:tc>
      </w:tr>
      <w:tr w14:paraId="1B2E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3422" w:type="dxa"/>
            <w:vAlign w:val="center"/>
          </w:tcPr>
          <w:p w14:paraId="5D0A9B50">
            <w:pPr>
              <w:rPr>
                <w:rFonts w:hint="default"/>
                <w:lang w:val="pt-BR"/>
              </w:rPr>
            </w:pPr>
            <w:r>
              <w:rPr>
                <w:rFonts w:hint="default"/>
                <w:lang w:val="pt-BR"/>
              </w:rPr>
              <w:t>Recurso da prova escrita</w:t>
            </w:r>
          </w:p>
        </w:tc>
        <w:tc>
          <w:tcPr>
            <w:tcW w:w="3572" w:type="dxa"/>
            <w:vAlign w:val="center"/>
          </w:tcPr>
          <w:p w14:paraId="4409CD58">
            <w:pPr>
              <w:rPr>
                <w:rFonts w:hint="default"/>
                <w:lang w:val="pt-BR"/>
              </w:rPr>
            </w:pPr>
            <w:r>
              <w:rPr>
                <w:rFonts w:hint="default"/>
                <w:lang w:val="pt-BR"/>
              </w:rPr>
              <w:t>3 dias úteis após a divulgação do resultado</w:t>
            </w:r>
          </w:p>
        </w:tc>
        <w:tc>
          <w:tcPr>
            <w:tcW w:w="3193" w:type="dxa"/>
            <w:shd w:val="clear" w:color="auto" w:fill="DEEBF6" w:themeFill="accent1" w:themeFillTint="32"/>
            <w:vAlign w:val="center"/>
          </w:tcPr>
          <w:p w14:paraId="5A1DB2A8">
            <w:pPr>
              <w:jc w:val="center"/>
              <w:rPr>
                <w:rFonts w:hint="default"/>
                <w:lang w:val="pt-BR"/>
              </w:rPr>
            </w:pPr>
          </w:p>
        </w:tc>
      </w:tr>
      <w:tr w14:paraId="40B1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422" w:type="dxa"/>
            <w:vAlign w:val="center"/>
          </w:tcPr>
          <w:p w14:paraId="5F716D73">
            <w:pPr>
              <w:rPr>
                <w:rFonts w:hint="default"/>
                <w:lang w:val="pt-BR"/>
              </w:rPr>
            </w:pPr>
            <w:r>
              <w:rPr>
                <w:rFonts w:hint="default"/>
                <w:lang w:val="pt-BR"/>
              </w:rPr>
              <w:t>Análise do recurso e divulgação do resultado</w:t>
            </w:r>
          </w:p>
        </w:tc>
        <w:tc>
          <w:tcPr>
            <w:tcW w:w="3572" w:type="dxa"/>
            <w:vAlign w:val="center"/>
          </w:tcPr>
          <w:p w14:paraId="6FCD4CF5">
            <w:pPr>
              <w:rPr>
                <w:rFonts w:hint="default"/>
                <w:lang w:val="pt-BR"/>
              </w:rPr>
            </w:pPr>
            <w:r>
              <w:rPr>
                <w:rFonts w:hint="default"/>
                <w:lang w:val="pt-BR"/>
              </w:rPr>
              <w:t>2 dias úteis para análise dos recursos</w:t>
            </w:r>
          </w:p>
        </w:tc>
        <w:tc>
          <w:tcPr>
            <w:tcW w:w="3193" w:type="dxa"/>
            <w:shd w:val="clear" w:color="auto" w:fill="DEEBF6" w:themeFill="accent1" w:themeFillTint="32"/>
            <w:vAlign w:val="center"/>
          </w:tcPr>
          <w:p w14:paraId="184BD5DE">
            <w:pPr>
              <w:jc w:val="center"/>
              <w:rPr>
                <w:rFonts w:hint="default"/>
                <w:lang w:val="pt-BR"/>
              </w:rPr>
            </w:pPr>
          </w:p>
        </w:tc>
      </w:tr>
      <w:tr w14:paraId="091C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2FD702ED">
            <w:pPr>
              <w:rPr>
                <w:rFonts w:hint="default"/>
                <w:lang w:val="pt-BR"/>
              </w:rPr>
            </w:pPr>
            <w:r>
              <w:rPr>
                <w:rFonts w:hint="default"/>
                <w:lang w:val="pt-BR"/>
              </w:rPr>
              <w:t>Sorteio Prova Didática</w:t>
            </w:r>
          </w:p>
        </w:tc>
        <w:tc>
          <w:tcPr>
            <w:tcW w:w="3572" w:type="dxa"/>
            <w:vAlign w:val="center"/>
          </w:tcPr>
          <w:p w14:paraId="691A84EF">
            <w:pPr>
              <w:rPr>
                <w:rFonts w:hint="default"/>
                <w:lang w:val="pt-BR"/>
              </w:rPr>
            </w:pPr>
            <w:r>
              <w:rPr>
                <w:rFonts w:hint="default"/>
                <w:lang w:val="pt-BR"/>
              </w:rPr>
              <w:t>No mínimo com 24h de antecedência do início da prova didática</w:t>
            </w:r>
          </w:p>
        </w:tc>
        <w:tc>
          <w:tcPr>
            <w:tcW w:w="3193" w:type="dxa"/>
            <w:shd w:val="clear" w:color="auto" w:fill="DEEBF6" w:themeFill="accent1" w:themeFillTint="32"/>
            <w:vAlign w:val="center"/>
          </w:tcPr>
          <w:p w14:paraId="30D107D9">
            <w:pPr>
              <w:jc w:val="center"/>
              <w:rPr>
                <w:rFonts w:hint="default"/>
                <w:lang w:val="pt-BR"/>
              </w:rPr>
            </w:pPr>
            <w:r>
              <w:rPr>
                <w:rFonts w:hint="default"/>
                <w:lang w:val="pt-BR"/>
              </w:rPr>
              <w:t xml:space="preserve">data, horário e local </w:t>
            </w:r>
          </w:p>
          <w:p w14:paraId="23A53C9E">
            <w:pPr>
              <w:jc w:val="center"/>
              <w:rPr>
                <w:rFonts w:hint="default"/>
                <w:lang w:val="pt-BR"/>
              </w:rPr>
            </w:pPr>
            <w:r>
              <w:rPr>
                <w:rFonts w:hint="default"/>
                <w:lang w:val="pt-BR"/>
              </w:rPr>
              <w:t>(em caso de sorteio remoto, informar o link de acesso)</w:t>
            </w:r>
          </w:p>
        </w:tc>
      </w:tr>
      <w:tr w14:paraId="2713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70DBCE85">
            <w:pPr>
              <w:rPr>
                <w:rFonts w:hint="default"/>
                <w:lang w:val="pt-BR"/>
              </w:rPr>
            </w:pPr>
            <w:r>
              <w:rPr>
                <w:rFonts w:hint="default"/>
                <w:lang w:val="pt-BR"/>
              </w:rPr>
              <w:t>Entrega do material a ser utilizado</w:t>
            </w:r>
          </w:p>
          <w:p w14:paraId="58499D7D">
            <w:pPr>
              <w:rPr>
                <w:rFonts w:hint="default"/>
                <w:lang w:val="pt-BR"/>
              </w:rPr>
            </w:pPr>
            <w:r>
              <w:rPr>
                <w:rFonts w:hint="default"/>
                <w:lang w:val="pt-BR"/>
              </w:rPr>
              <w:t>na Prova Didática</w:t>
            </w:r>
          </w:p>
        </w:tc>
        <w:tc>
          <w:tcPr>
            <w:tcW w:w="3572" w:type="dxa"/>
            <w:vAlign w:val="center"/>
          </w:tcPr>
          <w:p w14:paraId="3FEEB286">
            <w:pPr>
              <w:rPr>
                <w:rFonts w:hint="default"/>
                <w:lang w:val="pt-BR"/>
              </w:rPr>
            </w:pPr>
            <w:r>
              <w:rPr>
                <w:rFonts w:hint="default"/>
                <w:lang w:val="pt-BR"/>
              </w:rPr>
              <w:t>O recebimento do material a ser utilizado na Prova Didática pelos candidatos será feito antes do início das provas do CPD, devendo todos os candidatos inscritos no CPD e aprovados para esta etapa entregar seu material didático (arquivos eletrônicos, lâminas de projeção, modelos, planos de aula, etc.) em local e horário a ser informado</w:t>
            </w:r>
          </w:p>
          <w:p w14:paraId="560E252A">
            <w:pPr>
              <w:rPr>
                <w:rFonts w:hint="default"/>
                <w:lang w:val="pt-BR"/>
              </w:rPr>
            </w:pPr>
            <w:r>
              <w:rPr>
                <w:rFonts w:hint="default"/>
                <w:lang w:val="pt-BR"/>
              </w:rPr>
              <w:t>pela Comissão Examinadora.</w:t>
            </w:r>
          </w:p>
        </w:tc>
        <w:tc>
          <w:tcPr>
            <w:tcW w:w="3193" w:type="dxa"/>
            <w:shd w:val="clear" w:color="auto" w:fill="DEEBF6" w:themeFill="accent1" w:themeFillTint="32"/>
            <w:vAlign w:val="center"/>
          </w:tcPr>
          <w:p w14:paraId="3C12301A">
            <w:pPr>
              <w:jc w:val="center"/>
              <w:rPr>
                <w:rFonts w:hint="default"/>
                <w:lang w:val="pt-BR"/>
              </w:rPr>
            </w:pPr>
            <w:r>
              <w:rPr>
                <w:rFonts w:hint="default"/>
                <w:lang w:val="pt-BR"/>
              </w:rPr>
              <w:t>data, horário e local</w:t>
            </w:r>
          </w:p>
        </w:tc>
      </w:tr>
      <w:tr w14:paraId="3054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422" w:type="dxa"/>
            <w:vAlign w:val="center"/>
          </w:tcPr>
          <w:p w14:paraId="6C72B932">
            <w:pPr>
              <w:rPr>
                <w:rFonts w:hint="default"/>
                <w:lang w:val="pt-BR"/>
              </w:rPr>
            </w:pPr>
            <w:r>
              <w:rPr>
                <w:rFonts w:hint="default"/>
                <w:lang w:val="pt-BR"/>
              </w:rPr>
              <w:t xml:space="preserve">Prova Didática </w:t>
            </w:r>
          </w:p>
        </w:tc>
        <w:tc>
          <w:tcPr>
            <w:tcW w:w="3572" w:type="dxa"/>
            <w:vAlign w:val="center"/>
          </w:tcPr>
          <w:p w14:paraId="0E52B021">
            <w:pPr>
              <w:rPr>
                <w:rFonts w:hint="default"/>
                <w:lang w:val="pt-BR"/>
              </w:rPr>
            </w:pPr>
          </w:p>
        </w:tc>
        <w:tc>
          <w:tcPr>
            <w:tcW w:w="3193" w:type="dxa"/>
            <w:shd w:val="clear" w:color="auto" w:fill="DEEBF6" w:themeFill="accent1" w:themeFillTint="32"/>
            <w:vAlign w:val="center"/>
          </w:tcPr>
          <w:p w14:paraId="41556C77">
            <w:pPr>
              <w:jc w:val="center"/>
              <w:rPr>
                <w:rFonts w:hint="default"/>
                <w:lang w:val="pt-BR"/>
              </w:rPr>
            </w:pPr>
            <w:r>
              <w:rPr>
                <w:rFonts w:hint="default"/>
                <w:lang w:val="pt-BR"/>
              </w:rPr>
              <w:t>data, horário e local</w:t>
            </w:r>
          </w:p>
        </w:tc>
      </w:tr>
      <w:tr w14:paraId="3D11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422" w:type="dxa"/>
            <w:vAlign w:val="center"/>
          </w:tcPr>
          <w:p w14:paraId="13D74C97">
            <w:pPr>
              <w:rPr>
                <w:rFonts w:hint="default"/>
                <w:lang w:val="pt-BR"/>
              </w:rPr>
            </w:pPr>
            <w:r>
              <w:rPr>
                <w:rFonts w:hint="default"/>
                <w:lang w:val="pt-BR"/>
              </w:rPr>
              <w:t>Resultado da prova didática</w:t>
            </w:r>
          </w:p>
        </w:tc>
        <w:tc>
          <w:tcPr>
            <w:tcW w:w="3572" w:type="dxa"/>
            <w:vAlign w:val="center"/>
          </w:tcPr>
          <w:p w14:paraId="3FCC9DE8">
            <w:pPr>
              <w:rPr>
                <w:rFonts w:hint="default"/>
                <w:lang w:val="pt-BR"/>
              </w:rPr>
            </w:pPr>
          </w:p>
        </w:tc>
        <w:tc>
          <w:tcPr>
            <w:tcW w:w="3193" w:type="dxa"/>
            <w:shd w:val="clear" w:color="auto" w:fill="DEEBF6" w:themeFill="accent1" w:themeFillTint="32"/>
            <w:vAlign w:val="center"/>
          </w:tcPr>
          <w:p w14:paraId="3A6D8DDE">
            <w:pPr>
              <w:jc w:val="center"/>
              <w:rPr>
                <w:rFonts w:hint="default"/>
                <w:lang w:val="pt-BR"/>
              </w:rPr>
            </w:pPr>
            <w:r>
              <w:rPr>
                <w:rFonts w:hint="default"/>
                <w:lang w:val="pt-BR"/>
              </w:rPr>
              <w:t>data (previsão)*</w:t>
            </w:r>
          </w:p>
        </w:tc>
      </w:tr>
      <w:tr w14:paraId="33FF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3422" w:type="dxa"/>
            <w:vAlign w:val="center"/>
          </w:tcPr>
          <w:p w14:paraId="6612BE51">
            <w:pPr>
              <w:rPr>
                <w:rFonts w:hint="default"/>
                <w:lang w:val="pt-BR"/>
              </w:rPr>
            </w:pPr>
            <w:r>
              <w:rPr>
                <w:rFonts w:hint="default"/>
                <w:lang w:val="pt-BR"/>
              </w:rPr>
              <w:t>Recurso da prova didática</w:t>
            </w:r>
          </w:p>
        </w:tc>
        <w:tc>
          <w:tcPr>
            <w:tcW w:w="3572" w:type="dxa"/>
            <w:vAlign w:val="center"/>
          </w:tcPr>
          <w:p w14:paraId="7DBAF19A">
            <w:pPr>
              <w:rPr>
                <w:rFonts w:hint="default"/>
                <w:lang w:val="pt-BR"/>
              </w:rPr>
            </w:pPr>
            <w:r>
              <w:rPr>
                <w:rFonts w:hint="default"/>
                <w:lang w:val="pt-BR"/>
              </w:rPr>
              <w:t>3 dias úteis após a divulgação do resultado</w:t>
            </w:r>
          </w:p>
        </w:tc>
        <w:tc>
          <w:tcPr>
            <w:tcW w:w="3193" w:type="dxa"/>
            <w:shd w:val="clear" w:color="auto" w:fill="DEEBF6" w:themeFill="accent1" w:themeFillTint="32"/>
            <w:vAlign w:val="center"/>
          </w:tcPr>
          <w:p w14:paraId="704E4DBF">
            <w:pPr>
              <w:jc w:val="center"/>
              <w:rPr>
                <w:rFonts w:hint="default"/>
                <w:lang w:val="pt-BR"/>
              </w:rPr>
            </w:pPr>
          </w:p>
        </w:tc>
      </w:tr>
      <w:tr w14:paraId="53CE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6FB34792">
            <w:pPr>
              <w:rPr>
                <w:rFonts w:hint="default"/>
                <w:lang w:val="pt-BR"/>
              </w:rPr>
            </w:pPr>
            <w:r>
              <w:rPr>
                <w:rFonts w:hint="default"/>
                <w:lang w:val="pt-BR"/>
              </w:rPr>
              <w:t>Análise do recurso e divulgação do resultado</w:t>
            </w:r>
          </w:p>
        </w:tc>
        <w:tc>
          <w:tcPr>
            <w:tcW w:w="3572" w:type="dxa"/>
            <w:vAlign w:val="center"/>
          </w:tcPr>
          <w:p w14:paraId="2DD38266">
            <w:pPr>
              <w:rPr>
                <w:rFonts w:hint="default"/>
                <w:lang w:val="pt-BR"/>
              </w:rPr>
            </w:pPr>
            <w:r>
              <w:rPr>
                <w:rFonts w:hint="default"/>
                <w:lang w:val="pt-BR"/>
              </w:rPr>
              <w:t>2 dias úteis para análise dos recursos</w:t>
            </w:r>
          </w:p>
        </w:tc>
        <w:tc>
          <w:tcPr>
            <w:tcW w:w="3193" w:type="dxa"/>
            <w:shd w:val="clear" w:color="auto" w:fill="DEEBF6" w:themeFill="accent1" w:themeFillTint="32"/>
            <w:vAlign w:val="center"/>
          </w:tcPr>
          <w:p w14:paraId="3600952A">
            <w:pPr>
              <w:jc w:val="center"/>
              <w:rPr>
                <w:rFonts w:hint="default"/>
                <w:lang w:val="pt-BR"/>
              </w:rPr>
            </w:pPr>
          </w:p>
        </w:tc>
      </w:tr>
      <w:tr w14:paraId="3192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11231CED">
            <w:pPr>
              <w:rPr>
                <w:rFonts w:hint="default"/>
                <w:lang w:val="pt-BR"/>
              </w:rPr>
            </w:pPr>
            <w:r>
              <w:rPr>
                <w:rFonts w:hint="default"/>
                <w:lang w:val="pt-BR"/>
              </w:rPr>
              <w:t>Envio dos documentos comprobatórios para a Prova de Títulos</w:t>
            </w:r>
          </w:p>
        </w:tc>
        <w:tc>
          <w:tcPr>
            <w:tcW w:w="3572" w:type="dxa"/>
            <w:vAlign w:val="center"/>
          </w:tcPr>
          <w:p w14:paraId="62D88421">
            <w:pPr>
              <w:rPr>
                <w:rFonts w:hint="default"/>
                <w:highlight w:val="none"/>
                <w:lang w:val="pt-BR"/>
              </w:rPr>
            </w:pPr>
            <w:r>
              <w:rPr>
                <w:rFonts w:hint="default"/>
                <w:highlight w:val="none"/>
                <w:lang w:val="pt-BR"/>
              </w:rPr>
              <w:t>Somente para os candidatos aprovados nas etapas anteriores. **</w:t>
            </w:r>
          </w:p>
          <w:p w14:paraId="1C655171">
            <w:pPr>
              <w:rPr>
                <w:rFonts w:hint="default"/>
                <w:lang w:val="pt-BR"/>
              </w:rPr>
            </w:pPr>
            <w:r>
              <w:rPr>
                <w:rFonts w:hint="default"/>
                <w:color w:val="FF0000"/>
                <w:lang w:val="pt-BR"/>
              </w:rPr>
              <w:t>Os documentos serão encaminhados para o e-mail da unidade.</w:t>
            </w:r>
          </w:p>
        </w:tc>
        <w:tc>
          <w:tcPr>
            <w:tcW w:w="3193" w:type="dxa"/>
            <w:shd w:val="clear" w:color="auto" w:fill="DEEBF6" w:themeFill="accent1" w:themeFillTint="32"/>
            <w:vAlign w:val="center"/>
          </w:tcPr>
          <w:p w14:paraId="517E4DEC">
            <w:pPr>
              <w:jc w:val="center"/>
              <w:rPr>
                <w:rFonts w:hint="default"/>
                <w:lang w:val="pt-BR"/>
              </w:rPr>
            </w:pPr>
            <w:r>
              <w:rPr>
                <w:rFonts w:hint="default"/>
                <w:lang w:val="pt-BR"/>
              </w:rPr>
              <w:t>data e horário (período de recebimento pela unidade)</w:t>
            </w:r>
          </w:p>
        </w:tc>
      </w:tr>
      <w:tr w14:paraId="2D69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7E681D16">
            <w:pPr>
              <w:rPr>
                <w:rFonts w:hint="default"/>
                <w:lang w:val="pt-BR"/>
              </w:rPr>
            </w:pPr>
            <w:r>
              <w:rPr>
                <w:rFonts w:hint="default"/>
                <w:lang w:val="pt-BR"/>
              </w:rPr>
              <w:t>Entrega dos Planos de Trabalho</w:t>
            </w:r>
          </w:p>
        </w:tc>
        <w:tc>
          <w:tcPr>
            <w:tcW w:w="3572" w:type="dxa"/>
            <w:vAlign w:val="center"/>
          </w:tcPr>
          <w:p w14:paraId="5AD2503D">
            <w:pPr>
              <w:rPr>
                <w:rFonts w:hint="default"/>
                <w:lang w:val="pt-BR"/>
              </w:rPr>
            </w:pPr>
            <w:r>
              <w:rPr>
                <w:rFonts w:hint="default"/>
                <w:lang w:val="pt-BR"/>
              </w:rPr>
              <w:t>O Plano de Trabalho deverá ser entregue em local e horário a ser informado pela Comissão Examinadora</w:t>
            </w:r>
          </w:p>
        </w:tc>
        <w:tc>
          <w:tcPr>
            <w:tcW w:w="3193" w:type="dxa"/>
            <w:shd w:val="clear" w:color="auto" w:fill="DEEBF6" w:themeFill="accent1" w:themeFillTint="32"/>
            <w:vAlign w:val="center"/>
          </w:tcPr>
          <w:p w14:paraId="6D3FEAF6">
            <w:pPr>
              <w:jc w:val="center"/>
              <w:rPr>
                <w:rFonts w:hint="default"/>
                <w:lang w:val="pt-BR"/>
              </w:rPr>
            </w:pPr>
            <w:r>
              <w:rPr>
                <w:rFonts w:hint="default"/>
                <w:lang w:val="pt-BR"/>
              </w:rPr>
              <w:t>data, horário e local</w:t>
            </w:r>
          </w:p>
        </w:tc>
      </w:tr>
      <w:tr w14:paraId="38F5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2B87E21B">
            <w:pPr>
              <w:rPr>
                <w:rFonts w:hint="default"/>
                <w:lang w:val="pt-BR"/>
              </w:rPr>
            </w:pPr>
            <w:r>
              <w:rPr>
                <w:rFonts w:hint="default"/>
                <w:lang w:val="pt-BR"/>
              </w:rPr>
              <w:t>Defesa do Plano de Trabalho (quando houver)</w:t>
            </w:r>
          </w:p>
        </w:tc>
        <w:tc>
          <w:tcPr>
            <w:tcW w:w="3572" w:type="dxa"/>
            <w:vAlign w:val="center"/>
          </w:tcPr>
          <w:p w14:paraId="3013F53E">
            <w:pPr>
              <w:rPr>
                <w:rFonts w:hint="default"/>
                <w:lang w:val="pt-BR"/>
              </w:rPr>
            </w:pPr>
          </w:p>
        </w:tc>
        <w:tc>
          <w:tcPr>
            <w:tcW w:w="3193" w:type="dxa"/>
            <w:shd w:val="clear" w:color="auto" w:fill="DEEBF6" w:themeFill="accent1" w:themeFillTint="32"/>
            <w:vAlign w:val="center"/>
          </w:tcPr>
          <w:p w14:paraId="2AC92624">
            <w:pPr>
              <w:jc w:val="center"/>
              <w:rPr>
                <w:rFonts w:hint="default"/>
                <w:lang w:val="pt-BR"/>
              </w:rPr>
            </w:pPr>
            <w:r>
              <w:rPr>
                <w:rFonts w:hint="default"/>
                <w:lang w:val="pt-BR"/>
              </w:rPr>
              <w:t>data, horário e local</w:t>
            </w:r>
          </w:p>
        </w:tc>
      </w:tr>
      <w:tr w14:paraId="19CB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7A39CF5D">
            <w:pPr>
              <w:rPr>
                <w:rFonts w:hint="default"/>
                <w:lang w:val="pt-BR"/>
              </w:rPr>
            </w:pPr>
            <w:r>
              <w:rPr>
                <w:rFonts w:hint="default"/>
                <w:lang w:val="pt-BR"/>
              </w:rPr>
              <w:t>Prova Prática (quando houver)</w:t>
            </w:r>
          </w:p>
        </w:tc>
        <w:tc>
          <w:tcPr>
            <w:tcW w:w="3572" w:type="dxa"/>
            <w:vAlign w:val="center"/>
          </w:tcPr>
          <w:p w14:paraId="38CB3061">
            <w:pPr>
              <w:rPr>
                <w:rFonts w:hint="default"/>
                <w:lang w:val="pt-BR"/>
              </w:rPr>
            </w:pPr>
          </w:p>
        </w:tc>
        <w:tc>
          <w:tcPr>
            <w:tcW w:w="3193" w:type="dxa"/>
            <w:shd w:val="clear" w:color="auto" w:fill="DEEBF6" w:themeFill="accent1" w:themeFillTint="32"/>
            <w:vAlign w:val="center"/>
          </w:tcPr>
          <w:p w14:paraId="505A1D63">
            <w:pPr>
              <w:jc w:val="center"/>
              <w:rPr>
                <w:rFonts w:hint="default"/>
                <w:lang w:val="pt-BR"/>
              </w:rPr>
            </w:pPr>
            <w:r>
              <w:rPr>
                <w:rFonts w:hint="default"/>
                <w:lang w:val="pt-BR"/>
              </w:rPr>
              <w:t>data, horário e local</w:t>
            </w:r>
          </w:p>
        </w:tc>
      </w:tr>
      <w:tr w14:paraId="6A4D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4FAFDEF4">
            <w:pPr>
              <w:rPr>
                <w:rFonts w:hint="default"/>
                <w:lang w:val="pt-BR"/>
              </w:rPr>
            </w:pPr>
            <w:r>
              <w:rPr>
                <w:rFonts w:hint="default"/>
                <w:lang w:val="pt-BR"/>
              </w:rPr>
              <w:t>Resultado da Prova de Títulos</w:t>
            </w:r>
          </w:p>
          <w:p w14:paraId="4EA320D2">
            <w:pPr>
              <w:rPr>
                <w:rFonts w:hint="default"/>
                <w:lang w:val="pt-BR"/>
              </w:rPr>
            </w:pPr>
            <w:r>
              <w:rPr>
                <w:rFonts w:hint="default"/>
                <w:lang w:val="pt-BR"/>
              </w:rPr>
              <w:t xml:space="preserve">Resultado do Plano de Trabalho </w:t>
            </w:r>
          </w:p>
          <w:p w14:paraId="70C8D84C">
            <w:pPr>
              <w:rPr>
                <w:rFonts w:hint="default"/>
                <w:lang w:val="pt-BR"/>
              </w:rPr>
            </w:pPr>
            <w:r>
              <w:rPr>
                <w:rFonts w:hint="default"/>
                <w:lang w:val="pt-BR"/>
              </w:rPr>
              <w:t>Resultado da Prova Prática</w:t>
            </w:r>
          </w:p>
        </w:tc>
        <w:tc>
          <w:tcPr>
            <w:tcW w:w="3572" w:type="dxa"/>
            <w:vAlign w:val="center"/>
          </w:tcPr>
          <w:p w14:paraId="3429AC29">
            <w:pPr>
              <w:rPr>
                <w:rFonts w:hint="default"/>
                <w:lang w:val="pt-BR"/>
              </w:rPr>
            </w:pPr>
            <w:r>
              <w:rPr>
                <w:rFonts w:hint="default"/>
                <w:lang w:val="pt-BR"/>
              </w:rPr>
              <w:t>Os resultados dessas etapas podem ser divulgados na mesma data ou em períodos diferentes a critério da unidade</w:t>
            </w:r>
          </w:p>
        </w:tc>
        <w:tc>
          <w:tcPr>
            <w:tcW w:w="3193" w:type="dxa"/>
            <w:shd w:val="clear" w:color="auto" w:fill="DEEBF6" w:themeFill="accent1" w:themeFillTint="32"/>
            <w:vAlign w:val="center"/>
          </w:tcPr>
          <w:p w14:paraId="2B54007D">
            <w:pPr>
              <w:jc w:val="center"/>
              <w:rPr>
                <w:rFonts w:hint="default"/>
                <w:lang w:val="pt-BR"/>
              </w:rPr>
            </w:pPr>
          </w:p>
        </w:tc>
      </w:tr>
      <w:tr w14:paraId="10C4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09413A25">
            <w:pPr>
              <w:rPr>
                <w:rFonts w:hint="default"/>
                <w:lang w:val="pt-BR"/>
              </w:rPr>
            </w:pPr>
            <w:r>
              <w:rPr>
                <w:rFonts w:hint="default"/>
                <w:lang w:val="pt-BR"/>
              </w:rPr>
              <w:t>Recursos:</w:t>
            </w:r>
            <w:bookmarkStart w:id="0" w:name="_GoBack"/>
            <w:bookmarkEnd w:id="0"/>
          </w:p>
          <w:p w14:paraId="2D222892">
            <w:pPr>
              <w:rPr>
                <w:rFonts w:hint="default"/>
                <w:lang w:val="pt-BR"/>
              </w:rPr>
            </w:pPr>
            <w:r>
              <w:rPr>
                <w:rFonts w:hint="default"/>
                <w:lang w:val="pt-BR"/>
              </w:rPr>
              <w:t>Resultado da Prova de Títulos</w:t>
            </w:r>
          </w:p>
          <w:p w14:paraId="28D33D92">
            <w:pPr>
              <w:rPr>
                <w:rFonts w:hint="default"/>
                <w:lang w:val="pt-BR"/>
              </w:rPr>
            </w:pPr>
            <w:r>
              <w:rPr>
                <w:rFonts w:hint="default"/>
                <w:lang w:val="pt-BR"/>
              </w:rPr>
              <w:t xml:space="preserve">Resultado do Plano de Trabalho </w:t>
            </w:r>
          </w:p>
          <w:p w14:paraId="70BF8B52">
            <w:pPr>
              <w:rPr>
                <w:rFonts w:hint="default"/>
                <w:lang w:val="pt-BR"/>
              </w:rPr>
            </w:pPr>
            <w:r>
              <w:rPr>
                <w:rFonts w:hint="default"/>
                <w:lang w:val="pt-BR"/>
              </w:rPr>
              <w:t>Resultado da Prova Prática</w:t>
            </w:r>
          </w:p>
        </w:tc>
        <w:tc>
          <w:tcPr>
            <w:tcW w:w="3572" w:type="dxa"/>
            <w:vAlign w:val="center"/>
          </w:tcPr>
          <w:p w14:paraId="3CDBDFF6">
            <w:pPr>
              <w:rPr>
                <w:rFonts w:hint="default"/>
                <w:lang w:val="pt-BR"/>
              </w:rPr>
            </w:pPr>
            <w:r>
              <w:rPr>
                <w:rFonts w:hint="default"/>
                <w:lang w:val="pt-BR"/>
              </w:rPr>
              <w:t>3 dias úteis após a divulgação do resultado</w:t>
            </w:r>
          </w:p>
        </w:tc>
        <w:tc>
          <w:tcPr>
            <w:tcW w:w="3193" w:type="dxa"/>
            <w:shd w:val="clear" w:color="auto" w:fill="DEEBF6" w:themeFill="accent1" w:themeFillTint="32"/>
            <w:vAlign w:val="center"/>
          </w:tcPr>
          <w:p w14:paraId="4FEAC789">
            <w:pPr>
              <w:jc w:val="center"/>
              <w:rPr>
                <w:rFonts w:hint="default"/>
                <w:lang w:val="pt-BR"/>
              </w:rPr>
            </w:pPr>
          </w:p>
        </w:tc>
      </w:tr>
      <w:tr w14:paraId="3BD3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52E905D8">
            <w:pPr>
              <w:rPr>
                <w:rFonts w:hint="default"/>
                <w:lang w:val="pt-BR"/>
              </w:rPr>
            </w:pPr>
            <w:r>
              <w:rPr>
                <w:rFonts w:hint="default"/>
                <w:lang w:val="pt-BR"/>
              </w:rPr>
              <w:t>Análise dos recursos e divulgação dos resultados</w:t>
            </w:r>
          </w:p>
        </w:tc>
        <w:tc>
          <w:tcPr>
            <w:tcW w:w="3572" w:type="dxa"/>
            <w:vAlign w:val="center"/>
          </w:tcPr>
          <w:p w14:paraId="3DE3EA75">
            <w:pPr>
              <w:rPr>
                <w:rFonts w:hint="default"/>
                <w:lang w:val="pt-BR"/>
              </w:rPr>
            </w:pPr>
            <w:r>
              <w:rPr>
                <w:rFonts w:hint="default"/>
                <w:lang w:val="pt-BR"/>
              </w:rPr>
              <w:t>2 dias úteis para análise dos recursos</w:t>
            </w:r>
          </w:p>
        </w:tc>
        <w:tc>
          <w:tcPr>
            <w:tcW w:w="3193" w:type="dxa"/>
            <w:shd w:val="clear" w:color="auto" w:fill="DEEBF6" w:themeFill="accent1" w:themeFillTint="32"/>
            <w:vAlign w:val="center"/>
          </w:tcPr>
          <w:p w14:paraId="25C1EF6A">
            <w:pPr>
              <w:jc w:val="center"/>
              <w:rPr>
                <w:rFonts w:hint="default"/>
                <w:lang w:val="pt-BR"/>
              </w:rPr>
            </w:pPr>
          </w:p>
        </w:tc>
      </w:tr>
      <w:tr w14:paraId="5B56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3422" w:type="dxa"/>
            <w:vAlign w:val="center"/>
          </w:tcPr>
          <w:p w14:paraId="5BB2F812">
            <w:pPr>
              <w:rPr>
                <w:rFonts w:hint="default"/>
                <w:lang w:val="pt-BR"/>
              </w:rPr>
            </w:pPr>
            <w:r>
              <w:rPr>
                <w:rFonts w:hint="default"/>
                <w:lang w:val="pt-BR"/>
              </w:rPr>
              <w:t>Sessão pública de apresentação das notas dos candidatos</w:t>
            </w:r>
          </w:p>
        </w:tc>
        <w:tc>
          <w:tcPr>
            <w:tcW w:w="3572" w:type="dxa"/>
            <w:vAlign w:val="center"/>
          </w:tcPr>
          <w:p w14:paraId="33660253">
            <w:pPr>
              <w:rPr>
                <w:rFonts w:hint="default"/>
                <w:lang w:val="pt-BR"/>
              </w:rPr>
            </w:pPr>
            <w:r>
              <w:rPr>
                <w:rFonts w:hint="default"/>
                <w:lang w:val="pt-BR"/>
              </w:rPr>
              <w:t>Pode ser realizada de forma presencial ou remota.</w:t>
            </w:r>
          </w:p>
        </w:tc>
        <w:tc>
          <w:tcPr>
            <w:tcW w:w="3193" w:type="dxa"/>
            <w:shd w:val="clear" w:color="auto" w:fill="DEEBF6" w:themeFill="accent1" w:themeFillTint="32"/>
            <w:vAlign w:val="center"/>
          </w:tcPr>
          <w:p w14:paraId="348E3F6F">
            <w:pPr>
              <w:jc w:val="center"/>
              <w:rPr>
                <w:rFonts w:hint="default"/>
                <w:lang w:val="pt-BR"/>
              </w:rPr>
            </w:pPr>
            <w:r>
              <w:rPr>
                <w:rFonts w:hint="default"/>
                <w:lang w:val="pt-BR"/>
              </w:rPr>
              <w:t>Pode ser agendada posteriormente conforme o andamento do concurso</w:t>
            </w:r>
          </w:p>
        </w:tc>
      </w:tr>
    </w:tbl>
    <w:p w14:paraId="76430DB8">
      <w:pPr>
        <w:rPr>
          <w:rFonts w:hint="default"/>
          <w:lang w:val="pt-BR"/>
        </w:rPr>
      </w:pPr>
    </w:p>
    <w:p w14:paraId="5232AE36">
      <w:pPr>
        <w:jc w:val="both"/>
        <w:rPr>
          <w:rFonts w:hint="default"/>
          <w:lang w:val="pt-BR"/>
        </w:rPr>
      </w:pPr>
      <w:r>
        <w:rPr>
          <w:rFonts w:hint="default"/>
          <w:lang w:val="pt-BR"/>
        </w:rPr>
        <w:t>* É preciso estimar o tempo necessário para a correção das provas, elaboração das atas, encaminhamento para cadastro por parte da unidade/departamento e posterior assinatura por parte de todos os membros da banca examinadora. Também deve-se levar em consideração possíveis ajustes que se fizerem necessários, assim como o horário de funcionamento do SECOP que é de 08:00 às 17:00.</w:t>
      </w:r>
    </w:p>
    <w:p w14:paraId="587FBD5D">
      <w:pPr>
        <w:jc w:val="both"/>
        <w:rPr>
          <w:rFonts w:hint="default"/>
          <w:lang w:val="pt-BR"/>
        </w:rPr>
      </w:pPr>
    </w:p>
    <w:p w14:paraId="665816B2">
      <w:pPr>
        <w:jc w:val="both"/>
        <w:rPr>
          <w:rFonts w:hint="default"/>
          <w:lang w:val="pt-BR"/>
        </w:rPr>
      </w:pPr>
      <w:r>
        <w:rPr>
          <w:rFonts w:hint="default"/>
          <w:lang w:val="pt-BR"/>
        </w:rPr>
        <w:t>**Conforme o edital somente apresentarão os títulos os candidatos aprovados nas etapas eliminatórias, desta forma, observar que a data agendada para o envio dos documentos comprobatórios dos títulos deve ser posterior ao resultado do recurso da etapa didática.</w:t>
      </w:r>
    </w:p>
    <w:sectPr>
      <w:pgSz w:w="12240" w:h="15840"/>
      <w:pgMar w:top="1134" w:right="1134" w:bottom="113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Liberation Serif">
    <w:panose1 w:val="02020603050405020304"/>
    <w:charset w:val="00"/>
    <w:family w:val="roman"/>
    <w:pitch w:val="default"/>
    <w:sig w:usb0="E0000AFF" w:usb1="500078FF" w:usb2="00000021" w:usb3="00000000" w:csb0="600001BF" w:csb1="DFF70000"/>
  </w:font>
  <w:font w:name="Mangal">
    <w:altName w:val="Miriam Mono CLM"/>
    <w:panose1 w:val="02040503050203030202"/>
    <w:charset w:val="00"/>
    <w:family w:val="roman"/>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Miriam Mono CLM">
    <w:panose1 w:val="02000503000000000000"/>
    <w:charset w:val="00"/>
    <w:family w:val="auto"/>
    <w:pitch w:val="default"/>
    <w:sig w:usb0="A000087F" w:usb1="50002042" w:usb2="00000000" w:usb3="00000000" w:csb0="0000002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60883"/>
    <w:rsid w:val="137B6875"/>
    <w:rsid w:val="27B15CB2"/>
    <w:rsid w:val="31130807"/>
    <w:rsid w:val="31546433"/>
    <w:rsid w:val="342C2EA8"/>
    <w:rsid w:val="3E4F2C03"/>
    <w:rsid w:val="40194320"/>
    <w:rsid w:val="43B3461E"/>
    <w:rsid w:val="4D4543D1"/>
    <w:rsid w:val="4E121F5F"/>
    <w:rsid w:val="4F8E3DB0"/>
    <w:rsid w:val="643A7B04"/>
    <w:rsid w:val="65CD6FD4"/>
    <w:rsid w:val="68EA3CC6"/>
    <w:rsid w:val="76267B5C"/>
    <w:rsid w:val="7AF754EA"/>
    <w:rsid w:val="7E814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qFormat/>
    <w:uiPriority w:val="0"/>
    <w:rPr>
      <w:i/>
      <w:iCs/>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ext body"/>
    <w:basedOn w:val="7"/>
    <w:qFormat/>
    <w:uiPriority w:val="0"/>
    <w:pPr>
      <w:spacing w:after="140" w:line="288" w:lineRule="auto"/>
    </w:pPr>
  </w:style>
  <w:style w:type="paragraph" w:customStyle="1" w:styleId="7">
    <w:name w:val="Standard"/>
    <w:qFormat/>
    <w:uiPriority w:val="0"/>
    <w:pPr>
      <w:suppressAutoHyphens/>
      <w:autoSpaceDN w:val="0"/>
      <w:textAlignment w:val="baseline"/>
    </w:pPr>
    <w:rPr>
      <w:rFonts w:ascii="Liberation Serif" w:hAnsi="Liberation Serif" w:eastAsia="SimSun" w:cs="Mangal"/>
      <w:kern w:val="3"/>
      <w:sz w:val="24"/>
      <w:szCs w:val="24"/>
      <w:lang w:val="en-US" w:eastAsia="zh-CN" w:bidi="hi-IN"/>
    </w:rPr>
  </w:style>
  <w:style w:type="character" w:customStyle="1" w:styleId="8">
    <w:name w:val="tooltip"/>
    <w:basedOn w:val="2"/>
    <w:qFormat/>
    <w:uiPriority w:val="0"/>
  </w:style>
  <w:style w:type="table" w:customStyle="1" w:styleId="9">
    <w:name w:val="_Style 34"/>
    <w:basedOn w:val="10"/>
    <w:qFormat/>
    <w:uiPriority w:val="0"/>
    <w:tblPr>
      <w:tblCellMar>
        <w:top w:w="100" w:type="dxa"/>
        <w:left w:w="100" w:type="dxa"/>
        <w:bottom w:w="100" w:type="dxa"/>
        <w:right w:w="100" w:type="dxa"/>
      </w:tblCellMar>
    </w:tblPr>
  </w:style>
  <w:style w:type="table" w:customStyle="1" w:styleId="10">
    <w:name w:val="Table Normal"/>
    <w:semiHidden/>
    <w:unhideWhenUsed/>
    <w:qFormat/>
    <w:uiPriority w:val="2"/>
    <w:tblPr>
      <w:tblCellMar>
        <w:top w:w="0" w:type="dxa"/>
        <w:left w:w="0" w:type="dxa"/>
        <w:bottom w:w="0" w:type="dxa"/>
        <w:right w:w="0" w:type="dxa"/>
      </w:tblCellMar>
    </w:tblPr>
  </w:style>
  <w:style w:type="table" w:customStyle="1" w:styleId="11">
    <w:name w:val="_Style 35"/>
    <w:basedOn w:val="10"/>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14</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2024-07-29T20:02:00Z</dcterms:created>
  <dc:creator>secop</dc:creator>
  <cp:lastModifiedBy>SECOP</cp:lastModifiedBy>
  <dcterms:modified xsi:type="dcterms:W3CDTF">2026-03-17T17:17:20Z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1046-12.2.0.23196</vt:lpwstr>
  </property>
  <property fmtid="{D5CDD505-2E9C-101B-9397-08002B2CF9AE}" pid="3" name="ICV">
    <vt:lpwstr>6B19C1F2C2AB4185AF2025D8ECB3C77E_13</vt:lpwstr>
  </property>
</Properties>
</file>